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7505" w14:textId="77973E9C" w:rsidR="00B65250" w:rsidRPr="00B9215E" w:rsidRDefault="13DDECDE" w:rsidP="00B9215E">
      <w:pPr>
        <w:pStyle w:val="Heading2"/>
        <w:rPr>
          <w:rFonts w:ascii="Calibri" w:hAnsi="Calibri" w:cs="Calibri"/>
          <w:b/>
          <w:bCs/>
          <w:color w:val="002060"/>
          <w:sz w:val="28"/>
          <w:szCs w:val="28"/>
        </w:rPr>
      </w:pPr>
      <w:r w:rsidRPr="00B9215E">
        <w:rPr>
          <w:rFonts w:ascii="Calibri" w:hAnsi="Calibri" w:cs="Calibri"/>
          <w:b/>
          <w:bCs/>
          <w:color w:val="002060"/>
          <w:sz w:val="28"/>
          <w:szCs w:val="28"/>
        </w:rPr>
        <w:t>Copyright Anxiety and Digital Learning</w:t>
      </w:r>
    </w:p>
    <w:p w14:paraId="35F59DF0" w14:textId="75ADCCE3" w:rsidR="13DDECDE" w:rsidRDefault="00D9296E" w:rsidP="00B9215E">
      <w:pPr>
        <w:spacing w:line="360" w:lineRule="auto"/>
        <w:rPr>
          <w:rFonts w:ascii="Calibri" w:hAnsi="Calibri" w:cs="Calibri"/>
          <w:sz w:val="22"/>
          <w:szCs w:val="22"/>
        </w:rPr>
      </w:pPr>
      <w:r w:rsidRPr="00D9296E">
        <w:rPr>
          <w:rFonts w:ascii="Calibri" w:hAnsi="Calibri" w:cs="Calibri"/>
          <w:sz w:val="22"/>
          <w:szCs w:val="22"/>
        </w:rPr>
        <w:t xml:space="preserve">Jane Secker, </w:t>
      </w:r>
      <w:r>
        <w:rPr>
          <w:rFonts w:ascii="Calibri" w:hAnsi="Calibri" w:cs="Calibri"/>
          <w:sz w:val="22"/>
          <w:szCs w:val="22"/>
        </w:rPr>
        <w:t xml:space="preserve">City St George’s, University of London, </w:t>
      </w:r>
      <w:r w:rsidRPr="00D9296E">
        <w:rPr>
          <w:rFonts w:ascii="Calibri" w:hAnsi="Calibri" w:cs="Calibri"/>
          <w:sz w:val="22"/>
          <w:szCs w:val="22"/>
        </w:rPr>
        <w:t>Chris Morrison</w:t>
      </w:r>
      <w:r>
        <w:rPr>
          <w:rFonts w:ascii="Calibri" w:hAnsi="Calibri" w:cs="Calibri"/>
          <w:sz w:val="22"/>
          <w:szCs w:val="22"/>
        </w:rPr>
        <w:t xml:space="preserve">, </w:t>
      </w:r>
      <w:r w:rsidRPr="00D9296E">
        <w:rPr>
          <w:rFonts w:ascii="Calibri" w:hAnsi="Calibri" w:cs="Calibri"/>
          <w:sz w:val="22"/>
          <w:szCs w:val="22"/>
        </w:rPr>
        <w:t>Bodleian Libraries, University of Oxford</w:t>
      </w:r>
      <w:r>
        <w:rPr>
          <w:rFonts w:ascii="Calibri" w:hAnsi="Calibri" w:cs="Calibri"/>
          <w:sz w:val="22"/>
          <w:szCs w:val="22"/>
        </w:rPr>
        <w:t xml:space="preserve"> and</w:t>
      </w:r>
      <w:r w:rsidRPr="00D9296E">
        <w:rPr>
          <w:rFonts w:ascii="Calibri" w:hAnsi="Calibri" w:cs="Calibri"/>
          <w:sz w:val="22"/>
          <w:szCs w:val="22"/>
        </w:rPr>
        <w:t xml:space="preserve"> Amanda </w:t>
      </w:r>
      <w:proofErr w:type="spellStart"/>
      <w:r w:rsidRPr="00D9296E">
        <w:rPr>
          <w:rFonts w:ascii="Calibri" w:hAnsi="Calibri" w:cs="Calibri"/>
          <w:sz w:val="22"/>
          <w:szCs w:val="22"/>
        </w:rPr>
        <w:t>Wakaruk</w:t>
      </w:r>
      <w:proofErr w:type="spellEnd"/>
      <w:r>
        <w:rPr>
          <w:rFonts w:ascii="Calibri" w:hAnsi="Calibri" w:cs="Calibri"/>
          <w:sz w:val="22"/>
          <w:szCs w:val="22"/>
        </w:rPr>
        <w:t xml:space="preserve">, </w:t>
      </w:r>
      <w:r w:rsidRPr="00D9296E">
        <w:rPr>
          <w:rFonts w:ascii="Calibri" w:hAnsi="Calibri" w:cs="Calibri"/>
          <w:sz w:val="22"/>
          <w:szCs w:val="22"/>
        </w:rPr>
        <w:t>University of Alberta</w:t>
      </w:r>
    </w:p>
    <w:p w14:paraId="115B10CB" w14:textId="77777777" w:rsidR="001C4651" w:rsidRDefault="001C4651" w:rsidP="00B9215E">
      <w:pPr>
        <w:spacing w:line="360" w:lineRule="auto"/>
        <w:rPr>
          <w:rFonts w:ascii="Calibri" w:hAnsi="Calibri" w:cs="Calibri"/>
          <w:b/>
          <w:bCs/>
          <w:sz w:val="22"/>
          <w:szCs w:val="22"/>
        </w:rPr>
      </w:pPr>
    </w:p>
    <w:p w14:paraId="500A3C47" w14:textId="257B96F6" w:rsidR="00D9296E" w:rsidRPr="001C4651" w:rsidRDefault="001C4651" w:rsidP="001C4651">
      <w:pPr>
        <w:pStyle w:val="Heading3"/>
        <w:rPr>
          <w:rFonts w:ascii="Calibri" w:hAnsi="Calibri" w:cs="Calibri"/>
          <w:b/>
          <w:bCs/>
          <w:color w:val="000000" w:themeColor="text1"/>
          <w:sz w:val="22"/>
          <w:szCs w:val="22"/>
        </w:rPr>
      </w:pPr>
      <w:r w:rsidRPr="001C4651">
        <w:rPr>
          <w:rFonts w:ascii="Calibri" w:hAnsi="Calibri" w:cs="Calibri"/>
          <w:b/>
          <w:bCs/>
          <w:color w:val="000000" w:themeColor="text1"/>
          <w:sz w:val="22"/>
          <w:szCs w:val="22"/>
        </w:rPr>
        <w:t>Abstract</w:t>
      </w:r>
    </w:p>
    <w:p w14:paraId="7A7FEEA8" w14:textId="3F5BF032" w:rsidR="00B65250" w:rsidRPr="00D9296E" w:rsidRDefault="1E6C2C09" w:rsidP="00B9215E">
      <w:pPr>
        <w:spacing w:line="360" w:lineRule="auto"/>
        <w:rPr>
          <w:rFonts w:ascii="Calibri" w:hAnsi="Calibri" w:cs="Calibri"/>
          <w:sz w:val="22"/>
          <w:szCs w:val="22"/>
        </w:rPr>
      </w:pPr>
      <w:r w:rsidRPr="00D9296E">
        <w:rPr>
          <w:rFonts w:ascii="Calibri" w:hAnsi="Calibri" w:cs="Calibri"/>
          <w:sz w:val="22"/>
          <w:szCs w:val="22"/>
        </w:rPr>
        <w:t xml:space="preserve">Digital learning provides a number of benefits to students and </w:t>
      </w:r>
      <w:proofErr w:type="gramStart"/>
      <w:r w:rsidRPr="00D9296E">
        <w:rPr>
          <w:rFonts w:ascii="Calibri" w:hAnsi="Calibri" w:cs="Calibri"/>
          <w:sz w:val="22"/>
          <w:szCs w:val="22"/>
        </w:rPr>
        <w:t>educators, but</w:t>
      </w:r>
      <w:proofErr w:type="gramEnd"/>
      <w:r w:rsidRPr="00D9296E">
        <w:rPr>
          <w:rFonts w:ascii="Calibri" w:hAnsi="Calibri" w:cs="Calibri"/>
          <w:sz w:val="22"/>
          <w:szCs w:val="22"/>
        </w:rPr>
        <w:t xml:space="preserve"> brings with it a number of ethical and legal considerations. Copyright is a particular challenge, because activities which were unproblematic in the classroom or lecture theatre raise a range of questions when transferred online; as we saw during the Covid-19 pandemic (Secker and Morrison, 2020). Is it ‘fair’ to incorporate copyright protected content such as text, music and video into learning materials and who is responsible for making risk-based decisions which could be challenged by a copyright owner?</w:t>
      </w:r>
      <w:r w:rsidR="00BE5A95" w:rsidRPr="00D9296E">
        <w:rPr>
          <w:rFonts w:ascii="Calibri" w:hAnsi="Calibri" w:cs="Calibri"/>
          <w:sz w:val="22"/>
          <w:szCs w:val="22"/>
        </w:rPr>
        <w:t xml:space="preserve"> More recently there have been significant concerns about copyright issues associated with the rise of </w:t>
      </w:r>
      <w:r w:rsidR="00D07DD8" w:rsidRPr="00D9296E">
        <w:rPr>
          <w:rFonts w:ascii="Calibri" w:hAnsi="Calibri" w:cs="Calibri"/>
          <w:sz w:val="22"/>
          <w:szCs w:val="22"/>
        </w:rPr>
        <w:t>Generative AI</w:t>
      </w:r>
      <w:r w:rsidR="00BE5A95" w:rsidRPr="00D9296E">
        <w:rPr>
          <w:rFonts w:ascii="Calibri" w:hAnsi="Calibri" w:cs="Calibri"/>
          <w:sz w:val="22"/>
          <w:szCs w:val="22"/>
        </w:rPr>
        <w:t xml:space="preserve"> tools (La </w:t>
      </w:r>
      <w:proofErr w:type="spellStart"/>
      <w:r w:rsidR="00BE5A95" w:rsidRPr="00D9296E">
        <w:rPr>
          <w:rFonts w:ascii="Calibri" w:hAnsi="Calibri" w:cs="Calibri"/>
          <w:sz w:val="22"/>
          <w:szCs w:val="22"/>
        </w:rPr>
        <w:t>Diega</w:t>
      </w:r>
      <w:proofErr w:type="spellEnd"/>
      <w:r w:rsidR="00BE5A95" w:rsidRPr="00D9296E">
        <w:rPr>
          <w:rFonts w:ascii="Calibri" w:hAnsi="Calibri" w:cs="Calibri"/>
          <w:sz w:val="22"/>
          <w:szCs w:val="22"/>
        </w:rPr>
        <w:t xml:space="preserve"> and </w:t>
      </w:r>
      <w:proofErr w:type="spellStart"/>
      <w:r w:rsidR="00BE5A95" w:rsidRPr="00D9296E">
        <w:rPr>
          <w:rFonts w:ascii="Calibri" w:hAnsi="Calibri" w:cs="Calibri"/>
          <w:sz w:val="22"/>
          <w:szCs w:val="22"/>
        </w:rPr>
        <w:t>Koolen</w:t>
      </w:r>
      <w:proofErr w:type="spellEnd"/>
      <w:r w:rsidR="00BE5A95" w:rsidRPr="00D9296E">
        <w:rPr>
          <w:rFonts w:ascii="Calibri" w:hAnsi="Calibri" w:cs="Calibri"/>
          <w:sz w:val="22"/>
          <w:szCs w:val="22"/>
        </w:rPr>
        <w:t>, 2024)</w:t>
      </w:r>
      <w:proofErr w:type="gramStart"/>
      <w:r w:rsidR="00BE5A95" w:rsidRPr="00D9296E">
        <w:rPr>
          <w:rFonts w:ascii="Calibri" w:hAnsi="Calibri" w:cs="Calibri"/>
          <w:sz w:val="22"/>
          <w:szCs w:val="22"/>
        </w:rPr>
        <w:t>, in particular</w:t>
      </w:r>
      <w:r w:rsidR="002717B9">
        <w:rPr>
          <w:rFonts w:ascii="Calibri" w:hAnsi="Calibri" w:cs="Calibri"/>
          <w:sz w:val="22"/>
          <w:szCs w:val="22"/>
        </w:rPr>
        <w:t>,</w:t>
      </w:r>
      <w:r w:rsidR="00BE5A95" w:rsidRPr="00D9296E">
        <w:rPr>
          <w:rFonts w:ascii="Calibri" w:hAnsi="Calibri" w:cs="Calibri"/>
          <w:sz w:val="22"/>
          <w:szCs w:val="22"/>
        </w:rPr>
        <w:t xml:space="preserve"> what</w:t>
      </w:r>
      <w:proofErr w:type="gramEnd"/>
      <w:r w:rsidR="00BE5A95" w:rsidRPr="00D9296E">
        <w:rPr>
          <w:rFonts w:ascii="Calibri" w:hAnsi="Calibri" w:cs="Calibri"/>
          <w:sz w:val="22"/>
          <w:szCs w:val="22"/>
        </w:rPr>
        <w:t xml:space="preserve"> types of content should be uploaded into these tools. </w:t>
      </w:r>
    </w:p>
    <w:p w14:paraId="505442E5" w14:textId="3E87E739" w:rsidR="00B65250" w:rsidRPr="00D9296E" w:rsidRDefault="00B65250" w:rsidP="00B9215E">
      <w:pPr>
        <w:spacing w:line="360" w:lineRule="auto"/>
        <w:rPr>
          <w:rFonts w:ascii="Calibri" w:hAnsi="Calibri" w:cs="Calibri"/>
          <w:sz w:val="22"/>
          <w:szCs w:val="22"/>
        </w:rPr>
      </w:pPr>
    </w:p>
    <w:p w14:paraId="2FC65C00" w14:textId="51335AA2" w:rsidR="00BE5A95" w:rsidRPr="00D9296E" w:rsidRDefault="1E6C2C09" w:rsidP="00B9215E">
      <w:pPr>
        <w:spacing w:line="360" w:lineRule="auto"/>
        <w:rPr>
          <w:rFonts w:ascii="Calibri" w:hAnsi="Calibri" w:cs="Calibri"/>
          <w:sz w:val="22"/>
          <w:szCs w:val="22"/>
        </w:rPr>
      </w:pPr>
      <w:r w:rsidRPr="00D9296E">
        <w:rPr>
          <w:rFonts w:ascii="Calibri" w:hAnsi="Calibri" w:cs="Calibri"/>
          <w:sz w:val="22"/>
          <w:szCs w:val="22"/>
        </w:rPr>
        <w:t xml:space="preserve">This workshop will share findings from a recent research study into ‘copyright anxiety’ in higher education, undertaken at City St George’s University of London, Bodleian Libraries, University of Oxford and the University of Alberta in Canada. The research </w:t>
      </w:r>
      <w:r w:rsidR="00BE5A95" w:rsidRPr="00D9296E">
        <w:rPr>
          <w:rFonts w:ascii="Calibri" w:hAnsi="Calibri" w:cs="Calibri"/>
          <w:sz w:val="22"/>
          <w:szCs w:val="22"/>
        </w:rPr>
        <w:t xml:space="preserve">reports on a survey of </w:t>
      </w:r>
      <w:r w:rsidRPr="00D9296E">
        <w:rPr>
          <w:rFonts w:ascii="Calibri" w:hAnsi="Calibri" w:cs="Calibri"/>
          <w:sz w:val="22"/>
          <w:szCs w:val="22"/>
        </w:rPr>
        <w:t xml:space="preserve">over 500 members of staff </w:t>
      </w:r>
      <w:r w:rsidR="00BE5A95" w:rsidRPr="00D9296E">
        <w:rPr>
          <w:rFonts w:ascii="Calibri" w:hAnsi="Calibri" w:cs="Calibri"/>
          <w:sz w:val="22"/>
          <w:szCs w:val="22"/>
        </w:rPr>
        <w:t xml:space="preserve">and focus groups with 32 staff </w:t>
      </w:r>
      <w:r w:rsidRPr="00D9296E">
        <w:rPr>
          <w:rFonts w:ascii="Calibri" w:hAnsi="Calibri" w:cs="Calibri"/>
          <w:sz w:val="22"/>
          <w:szCs w:val="22"/>
        </w:rPr>
        <w:t>in higher education in the UK and Canada to explore whether copyright law and its interpretation ‘chills’ innovative teaching and research practices.</w:t>
      </w:r>
      <w:r w:rsidR="00BE5A95" w:rsidRPr="00D9296E">
        <w:rPr>
          <w:rFonts w:ascii="Calibri" w:hAnsi="Calibri" w:cs="Calibri"/>
          <w:sz w:val="22"/>
          <w:szCs w:val="22"/>
        </w:rPr>
        <w:t xml:space="preserve"> </w:t>
      </w:r>
      <w:r w:rsidRPr="00D9296E">
        <w:rPr>
          <w:rFonts w:ascii="Calibri" w:hAnsi="Calibri" w:cs="Calibri"/>
          <w:sz w:val="22"/>
          <w:szCs w:val="22"/>
        </w:rPr>
        <w:t>Our research tested a survey instrument known as the Copyright Anxiety Scale (</w:t>
      </w:r>
      <w:proofErr w:type="spellStart"/>
      <w:r w:rsidRPr="00D9296E">
        <w:rPr>
          <w:rFonts w:ascii="Calibri" w:hAnsi="Calibri" w:cs="Calibri"/>
          <w:sz w:val="22"/>
          <w:szCs w:val="22"/>
        </w:rPr>
        <w:t>Wakaruk</w:t>
      </w:r>
      <w:proofErr w:type="spellEnd"/>
      <w:r w:rsidRPr="00D9296E">
        <w:rPr>
          <w:rFonts w:ascii="Calibri" w:hAnsi="Calibri" w:cs="Calibri"/>
          <w:sz w:val="22"/>
          <w:szCs w:val="22"/>
        </w:rPr>
        <w:t xml:space="preserve"> et al, 2021).  </w:t>
      </w:r>
    </w:p>
    <w:p w14:paraId="67F279C3" w14:textId="77777777" w:rsidR="00BE5A95" w:rsidRPr="00D9296E" w:rsidRDefault="00BE5A95" w:rsidP="00B9215E">
      <w:pPr>
        <w:spacing w:line="360" w:lineRule="auto"/>
        <w:rPr>
          <w:rFonts w:ascii="Calibri" w:hAnsi="Calibri" w:cs="Calibri"/>
          <w:sz w:val="22"/>
          <w:szCs w:val="22"/>
        </w:rPr>
      </w:pPr>
    </w:p>
    <w:p w14:paraId="1F301776" w14:textId="2647DB62" w:rsidR="00B65250" w:rsidRPr="00D9296E" w:rsidRDefault="1E6C2C09" w:rsidP="00B9215E">
      <w:pPr>
        <w:spacing w:line="360" w:lineRule="auto"/>
        <w:rPr>
          <w:rFonts w:ascii="Calibri" w:hAnsi="Calibri" w:cs="Calibri"/>
          <w:sz w:val="22"/>
          <w:szCs w:val="22"/>
        </w:rPr>
      </w:pPr>
      <w:r w:rsidRPr="00D9296E">
        <w:rPr>
          <w:rFonts w:ascii="Calibri" w:hAnsi="Calibri" w:cs="Calibri"/>
          <w:sz w:val="22"/>
          <w:szCs w:val="22"/>
        </w:rPr>
        <w:t>Almost 20 years ago Hobbs et al (2007) reported on the pedagogical costs of “copyright confusion” meaning teaching materials were less effective and there could be the perpetuation of misinformation. Our findings reveal concerns about copyright continue to impact on teaching and learning, research activities and the services that libraries can offer. Almost 60% of UK respondents and 52% of Canadians, reported they worry they do not know enough about copyright and 25% say they have abandoned projects o</w:t>
      </w:r>
      <w:r w:rsidR="002717B9">
        <w:rPr>
          <w:rFonts w:ascii="Calibri" w:hAnsi="Calibri" w:cs="Calibri"/>
          <w:sz w:val="22"/>
          <w:szCs w:val="22"/>
        </w:rPr>
        <w:t>r</w:t>
      </w:r>
      <w:r w:rsidRPr="00D9296E">
        <w:rPr>
          <w:rFonts w:ascii="Calibri" w:hAnsi="Calibri" w:cs="Calibri"/>
          <w:sz w:val="22"/>
          <w:szCs w:val="22"/>
        </w:rPr>
        <w:t xml:space="preserve"> avoided activities because of copyright issues. We will discuss the impact that copyright has on digital learning activities in higher education. </w:t>
      </w:r>
    </w:p>
    <w:p w14:paraId="1300C4C4" w14:textId="77777777" w:rsidR="00B65250" w:rsidRPr="00D9296E" w:rsidRDefault="00B65250" w:rsidP="00B9215E">
      <w:pPr>
        <w:spacing w:line="360" w:lineRule="auto"/>
        <w:rPr>
          <w:rFonts w:ascii="Calibri" w:hAnsi="Calibri" w:cs="Calibri"/>
          <w:sz w:val="22"/>
          <w:szCs w:val="22"/>
        </w:rPr>
      </w:pPr>
    </w:p>
    <w:p w14:paraId="1F893DD7" w14:textId="16BB8AC7" w:rsidR="00B65250" w:rsidRPr="00D9296E" w:rsidRDefault="1E6C2C09" w:rsidP="00B9215E">
      <w:pPr>
        <w:spacing w:line="360" w:lineRule="auto"/>
        <w:rPr>
          <w:rFonts w:ascii="Calibri" w:hAnsi="Calibri" w:cs="Calibri"/>
          <w:sz w:val="22"/>
          <w:szCs w:val="22"/>
        </w:rPr>
      </w:pPr>
      <w:r w:rsidRPr="00D9296E">
        <w:rPr>
          <w:rFonts w:ascii="Calibri" w:hAnsi="Calibri" w:cs="Calibri"/>
          <w:sz w:val="22"/>
          <w:szCs w:val="22"/>
        </w:rPr>
        <w:t xml:space="preserve">The workshop presenters have been running regular webinars since the pandemic to support the higher education community and try to ensure copyright is not a barrier to online learning. They also co-Chair the Association for Learning Technology’s Copyright and Online Learning special interest </w:t>
      </w:r>
      <w:r w:rsidRPr="00D9296E">
        <w:rPr>
          <w:rFonts w:ascii="Calibri" w:hAnsi="Calibri" w:cs="Calibri"/>
          <w:sz w:val="22"/>
          <w:szCs w:val="22"/>
        </w:rPr>
        <w:lastRenderedPageBreak/>
        <w:t xml:space="preserve">group and have developed several educational games (Secker and Morrison, 2022) to teach about copyright in a playful way. </w:t>
      </w:r>
    </w:p>
    <w:p w14:paraId="6BE30C4E" w14:textId="053BD3E3" w:rsidR="00B65250" w:rsidRPr="00D9296E" w:rsidRDefault="1E6C2C09" w:rsidP="00B9215E">
      <w:pPr>
        <w:spacing w:line="360" w:lineRule="auto"/>
        <w:rPr>
          <w:rFonts w:ascii="Calibri" w:hAnsi="Calibri" w:cs="Calibri"/>
          <w:sz w:val="22"/>
          <w:szCs w:val="22"/>
        </w:rPr>
      </w:pPr>
      <w:r w:rsidRPr="00D9296E">
        <w:rPr>
          <w:rFonts w:ascii="Calibri" w:eastAsiaTheme="majorEastAsia" w:hAnsi="Calibri" w:cs="Calibri"/>
          <w:sz w:val="22"/>
          <w:szCs w:val="22"/>
        </w:rPr>
        <w:t>Workshop aims:</w:t>
      </w:r>
      <w:r w:rsidRPr="00D9296E">
        <w:rPr>
          <w:rFonts w:ascii="Calibri" w:hAnsi="Calibri" w:cs="Calibri"/>
          <w:sz w:val="22"/>
          <w:szCs w:val="22"/>
        </w:rPr>
        <w:t xml:space="preserve"> </w:t>
      </w:r>
    </w:p>
    <w:p w14:paraId="7726E54F" w14:textId="60877E7F" w:rsidR="00B65250" w:rsidRPr="00D9296E" w:rsidRDefault="1E6C2C09" w:rsidP="00B9215E">
      <w:pPr>
        <w:pStyle w:val="ListParagraph"/>
        <w:numPr>
          <w:ilvl w:val="0"/>
          <w:numId w:val="1"/>
        </w:numPr>
        <w:spacing w:line="360" w:lineRule="auto"/>
        <w:rPr>
          <w:rFonts w:ascii="Calibri" w:hAnsi="Calibri" w:cs="Calibri"/>
          <w:sz w:val="22"/>
          <w:szCs w:val="22"/>
        </w:rPr>
      </w:pPr>
      <w:r w:rsidRPr="00D9296E">
        <w:rPr>
          <w:rFonts w:ascii="Calibri" w:hAnsi="Calibri" w:cs="Calibri"/>
          <w:sz w:val="22"/>
          <w:szCs w:val="22"/>
        </w:rPr>
        <w:t>Share findings from the copyright anxiety research</w:t>
      </w:r>
    </w:p>
    <w:p w14:paraId="7AD00EDD" w14:textId="4EDF172A" w:rsidR="00B65250" w:rsidRPr="00D9296E" w:rsidRDefault="1E6C2C09" w:rsidP="00B9215E">
      <w:pPr>
        <w:pStyle w:val="ListParagraph"/>
        <w:numPr>
          <w:ilvl w:val="0"/>
          <w:numId w:val="1"/>
        </w:numPr>
        <w:spacing w:line="360" w:lineRule="auto"/>
        <w:rPr>
          <w:rFonts w:ascii="Calibri" w:hAnsi="Calibri" w:cs="Calibri"/>
          <w:sz w:val="22"/>
          <w:szCs w:val="22"/>
        </w:rPr>
      </w:pPr>
      <w:r w:rsidRPr="00D9296E">
        <w:rPr>
          <w:rFonts w:ascii="Calibri" w:hAnsi="Calibri" w:cs="Calibri"/>
          <w:sz w:val="22"/>
          <w:szCs w:val="22"/>
        </w:rPr>
        <w:t xml:space="preserve">Discuss some of the reasons for copyright anxiety and provide participants with </w:t>
      </w:r>
      <w:r w:rsidR="00D07DD8" w:rsidRPr="00D9296E">
        <w:rPr>
          <w:rFonts w:ascii="Calibri" w:hAnsi="Calibri" w:cs="Calibri"/>
          <w:sz w:val="22"/>
          <w:szCs w:val="22"/>
        </w:rPr>
        <w:t xml:space="preserve">playful </w:t>
      </w:r>
      <w:r w:rsidRPr="00D9296E">
        <w:rPr>
          <w:rFonts w:ascii="Calibri" w:hAnsi="Calibri" w:cs="Calibri"/>
          <w:sz w:val="22"/>
          <w:szCs w:val="22"/>
        </w:rPr>
        <w:t>opportunit</w:t>
      </w:r>
      <w:r w:rsidR="00D07DD8" w:rsidRPr="00D9296E">
        <w:rPr>
          <w:rFonts w:ascii="Calibri" w:hAnsi="Calibri" w:cs="Calibri"/>
          <w:sz w:val="22"/>
          <w:szCs w:val="22"/>
        </w:rPr>
        <w:t>ies</w:t>
      </w:r>
      <w:r w:rsidRPr="00D9296E">
        <w:rPr>
          <w:rFonts w:ascii="Calibri" w:hAnsi="Calibri" w:cs="Calibri"/>
          <w:sz w:val="22"/>
          <w:szCs w:val="22"/>
        </w:rPr>
        <w:t xml:space="preserve"> to share their own experiences</w:t>
      </w:r>
    </w:p>
    <w:p w14:paraId="4BFC7A4A" w14:textId="5F43CAF0" w:rsidR="00B65250" w:rsidRPr="00D9296E" w:rsidRDefault="1E6C2C09" w:rsidP="00B9215E">
      <w:pPr>
        <w:pStyle w:val="ListParagraph"/>
        <w:numPr>
          <w:ilvl w:val="0"/>
          <w:numId w:val="1"/>
        </w:numPr>
        <w:spacing w:line="360" w:lineRule="auto"/>
        <w:rPr>
          <w:rFonts w:ascii="Calibri" w:hAnsi="Calibri" w:cs="Calibri"/>
          <w:sz w:val="22"/>
          <w:szCs w:val="22"/>
        </w:rPr>
      </w:pPr>
      <w:r w:rsidRPr="00D9296E">
        <w:rPr>
          <w:rFonts w:ascii="Calibri" w:hAnsi="Calibri" w:cs="Calibri"/>
          <w:sz w:val="22"/>
          <w:szCs w:val="22"/>
        </w:rPr>
        <w:t xml:space="preserve">Consider what institutions and the higher education community can do to build greater levels of understanding about copyright so that it does not unduly restrict digital learning activities in higher education. </w:t>
      </w:r>
    </w:p>
    <w:p w14:paraId="09769F16" w14:textId="6103FF56" w:rsidR="00B65250" w:rsidRDefault="00BE5A95" w:rsidP="00B9215E">
      <w:pPr>
        <w:pStyle w:val="ListParagraph"/>
        <w:numPr>
          <w:ilvl w:val="0"/>
          <w:numId w:val="1"/>
        </w:numPr>
        <w:spacing w:line="360" w:lineRule="auto"/>
        <w:rPr>
          <w:rFonts w:ascii="Calibri" w:hAnsi="Calibri" w:cs="Calibri"/>
          <w:sz w:val="22"/>
          <w:szCs w:val="22"/>
        </w:rPr>
      </w:pPr>
      <w:r w:rsidRPr="00D9296E">
        <w:rPr>
          <w:rFonts w:ascii="Calibri" w:hAnsi="Calibri" w:cs="Calibri"/>
          <w:sz w:val="22"/>
          <w:szCs w:val="22"/>
        </w:rPr>
        <w:t>Collaborate in small groups</w:t>
      </w:r>
      <w:r w:rsidR="1E6C2C09" w:rsidRPr="00D9296E">
        <w:rPr>
          <w:rFonts w:ascii="Calibri" w:hAnsi="Calibri" w:cs="Calibri"/>
          <w:sz w:val="22"/>
          <w:szCs w:val="22"/>
        </w:rPr>
        <w:t xml:space="preserve"> to </w:t>
      </w:r>
      <w:r w:rsidRPr="00D9296E">
        <w:rPr>
          <w:rFonts w:ascii="Calibri" w:hAnsi="Calibri" w:cs="Calibri"/>
          <w:sz w:val="22"/>
          <w:szCs w:val="22"/>
        </w:rPr>
        <w:t>devise strategies that might help to</w:t>
      </w:r>
      <w:r w:rsidR="1E6C2C09" w:rsidRPr="00D9296E">
        <w:rPr>
          <w:rFonts w:ascii="Calibri" w:hAnsi="Calibri" w:cs="Calibri"/>
          <w:sz w:val="22"/>
          <w:szCs w:val="22"/>
        </w:rPr>
        <w:t xml:space="preserve"> address copyright anxiety as part of their own practice. </w:t>
      </w:r>
    </w:p>
    <w:p w14:paraId="4B38BB70" w14:textId="77777777" w:rsidR="001C4651" w:rsidRDefault="001C4651" w:rsidP="001C4651">
      <w:pPr>
        <w:spacing w:line="360" w:lineRule="auto"/>
        <w:rPr>
          <w:rFonts w:ascii="Calibri" w:hAnsi="Calibri" w:cs="Calibri"/>
          <w:b/>
          <w:bCs/>
          <w:sz w:val="22"/>
          <w:szCs w:val="22"/>
        </w:rPr>
      </w:pPr>
    </w:p>
    <w:p w14:paraId="118C56D4" w14:textId="08E31D1F" w:rsidR="001C4651" w:rsidRPr="001C4651" w:rsidRDefault="001C4651" w:rsidP="001C4651">
      <w:pPr>
        <w:spacing w:line="360" w:lineRule="auto"/>
        <w:rPr>
          <w:rFonts w:ascii="Calibri" w:hAnsi="Calibri" w:cs="Calibri"/>
          <w:sz w:val="22"/>
          <w:szCs w:val="22"/>
        </w:rPr>
      </w:pPr>
      <w:r w:rsidRPr="001C4651">
        <w:rPr>
          <w:rFonts w:ascii="Calibri" w:hAnsi="Calibri" w:cs="Calibri"/>
          <w:b/>
          <w:bCs/>
          <w:sz w:val="22"/>
          <w:szCs w:val="22"/>
        </w:rPr>
        <w:t>Keywords</w:t>
      </w:r>
      <w:r>
        <w:rPr>
          <w:rFonts w:ascii="Calibri" w:hAnsi="Calibri" w:cs="Calibri"/>
          <w:b/>
          <w:bCs/>
          <w:sz w:val="22"/>
          <w:szCs w:val="22"/>
        </w:rPr>
        <w:t xml:space="preserve">: </w:t>
      </w:r>
      <w:r>
        <w:rPr>
          <w:rFonts w:ascii="Calibri" w:hAnsi="Calibri" w:cs="Calibri"/>
          <w:sz w:val="22"/>
          <w:szCs w:val="22"/>
        </w:rPr>
        <w:t>Copyright, Digital learning</w:t>
      </w:r>
    </w:p>
    <w:p w14:paraId="5062ADC1" w14:textId="7712AA78" w:rsidR="00BE5A95" w:rsidRPr="00B9215E" w:rsidRDefault="00B65250" w:rsidP="00662AC8">
      <w:pPr>
        <w:pStyle w:val="Heading3"/>
      </w:pPr>
      <w:r w:rsidRPr="00662AC8">
        <w:rPr>
          <w:rFonts w:ascii="Calibri" w:hAnsi="Calibri" w:cs="Calibri"/>
          <w:b/>
          <w:bCs/>
          <w:color w:val="0070C0"/>
          <w:sz w:val="24"/>
          <w:szCs w:val="24"/>
        </w:rPr>
        <w:t>References</w:t>
      </w:r>
    </w:p>
    <w:p w14:paraId="6F69CE1F" w14:textId="51A11FC5" w:rsidR="00B65250" w:rsidRPr="00662AC8" w:rsidRDefault="00B65250" w:rsidP="00B9215E">
      <w:pPr>
        <w:pStyle w:val="Default"/>
        <w:spacing w:line="360" w:lineRule="auto"/>
        <w:rPr>
          <w:rFonts w:ascii="Calibri" w:hAnsi="Calibri" w:cs="Calibri"/>
          <w:color w:val="auto"/>
          <w:kern w:val="2"/>
          <w:sz w:val="22"/>
          <w:szCs w:val="22"/>
        </w:rPr>
      </w:pPr>
      <w:r w:rsidRPr="00662AC8">
        <w:rPr>
          <w:rFonts w:ascii="Calibri" w:hAnsi="Calibri" w:cs="Calibri"/>
          <w:color w:val="auto"/>
          <w:kern w:val="2"/>
          <w:sz w:val="22"/>
          <w:szCs w:val="22"/>
        </w:rPr>
        <w:t xml:space="preserve">Hobbs, R., </w:t>
      </w:r>
      <w:proofErr w:type="spellStart"/>
      <w:r w:rsidRPr="00662AC8">
        <w:rPr>
          <w:rFonts w:ascii="Calibri" w:hAnsi="Calibri" w:cs="Calibri"/>
          <w:color w:val="auto"/>
          <w:kern w:val="2"/>
          <w:sz w:val="22"/>
          <w:szCs w:val="22"/>
        </w:rPr>
        <w:t>Jaszi</w:t>
      </w:r>
      <w:proofErr w:type="spellEnd"/>
      <w:r w:rsidRPr="00662AC8">
        <w:rPr>
          <w:rFonts w:ascii="Calibri" w:hAnsi="Calibri" w:cs="Calibri"/>
          <w:color w:val="auto"/>
          <w:kern w:val="2"/>
          <w:sz w:val="22"/>
          <w:szCs w:val="22"/>
        </w:rPr>
        <w:t xml:space="preserve">, P., &amp; Aufderheide, P. (2007). The cost of copyright confusion for media literacy. </w:t>
      </w:r>
      <w:proofErr w:type="spellStart"/>
      <w:r w:rsidRPr="00662AC8">
        <w:rPr>
          <w:rFonts w:ascii="Calibri" w:hAnsi="Calibri" w:cs="Calibri"/>
          <w:color w:val="auto"/>
          <w:kern w:val="2"/>
          <w:sz w:val="22"/>
          <w:szCs w:val="22"/>
        </w:rPr>
        <w:t>Center</w:t>
      </w:r>
      <w:proofErr w:type="spellEnd"/>
      <w:r w:rsidRPr="00662AC8">
        <w:rPr>
          <w:rFonts w:ascii="Calibri" w:hAnsi="Calibri" w:cs="Calibri"/>
          <w:color w:val="auto"/>
          <w:kern w:val="2"/>
          <w:sz w:val="22"/>
          <w:szCs w:val="22"/>
        </w:rPr>
        <w:t xml:space="preserve"> for Social Media, American University.</w:t>
      </w:r>
      <w:hyperlink r:id="rId5" w:history="1">
        <w:r w:rsidRPr="00662AC8">
          <w:rPr>
            <w:rFonts w:ascii="Calibri" w:hAnsi="Calibri" w:cs="Calibri"/>
            <w:color w:val="auto"/>
            <w:kern w:val="2"/>
            <w:sz w:val="22"/>
            <w:szCs w:val="22"/>
          </w:rPr>
          <w:t xml:space="preserve"> https://cmsimpact.org/wp-content/uploads/2016/03/Final_CSM_copyright_report_0.pdf</w:t>
        </w:r>
      </w:hyperlink>
      <w:r w:rsidRPr="00662AC8">
        <w:rPr>
          <w:rFonts w:ascii="Calibri" w:hAnsi="Calibri" w:cs="Calibri"/>
          <w:color w:val="auto"/>
          <w:kern w:val="2"/>
          <w:sz w:val="22"/>
          <w:szCs w:val="22"/>
        </w:rPr>
        <w:t> </w:t>
      </w:r>
    </w:p>
    <w:p w14:paraId="610BB3EC" w14:textId="77777777" w:rsidR="00BE5A95" w:rsidRPr="00662AC8" w:rsidRDefault="00BE5A95" w:rsidP="00B9215E">
      <w:pPr>
        <w:pStyle w:val="Default"/>
        <w:spacing w:line="360" w:lineRule="auto"/>
        <w:rPr>
          <w:rFonts w:ascii="Calibri" w:hAnsi="Calibri" w:cs="Calibri"/>
          <w:color w:val="auto"/>
          <w:kern w:val="2"/>
          <w:sz w:val="22"/>
          <w:szCs w:val="22"/>
        </w:rPr>
      </w:pPr>
    </w:p>
    <w:p w14:paraId="10F45520" w14:textId="0254A9B8" w:rsidR="00BE5A95" w:rsidRPr="00662AC8" w:rsidRDefault="00BE5A95" w:rsidP="00B9215E">
      <w:pPr>
        <w:pStyle w:val="Default"/>
        <w:spacing w:line="360" w:lineRule="auto"/>
        <w:rPr>
          <w:rFonts w:ascii="Calibri" w:hAnsi="Calibri" w:cs="Calibri"/>
          <w:color w:val="auto"/>
          <w:kern w:val="2"/>
          <w:sz w:val="22"/>
          <w:szCs w:val="22"/>
        </w:rPr>
      </w:pPr>
      <w:r w:rsidRPr="00662AC8">
        <w:rPr>
          <w:rFonts w:ascii="Calibri" w:hAnsi="Calibri" w:cs="Calibri"/>
          <w:color w:val="auto"/>
          <w:kern w:val="2"/>
          <w:sz w:val="22"/>
          <w:szCs w:val="22"/>
        </w:rPr>
        <w:t>La Diega, Guido Noto, and Koolen, Christof. (2024) "Generative AI, education, and copyright law: An empirical study of policymaking in UK universities." </w:t>
      </w:r>
      <w:r w:rsidRPr="00662AC8">
        <w:rPr>
          <w:rFonts w:ascii="Calibri" w:hAnsi="Calibri" w:cs="Calibri"/>
          <w:i/>
          <w:iCs/>
          <w:color w:val="auto"/>
          <w:kern w:val="2"/>
          <w:sz w:val="22"/>
          <w:szCs w:val="22"/>
        </w:rPr>
        <w:t>European Intellectual Property Review</w:t>
      </w:r>
      <w:r w:rsidRPr="00662AC8">
        <w:rPr>
          <w:rFonts w:ascii="Calibri" w:hAnsi="Calibri" w:cs="Calibri"/>
          <w:color w:val="auto"/>
          <w:kern w:val="2"/>
          <w:sz w:val="22"/>
          <w:szCs w:val="22"/>
        </w:rPr>
        <w:t> 46 (6) pp.346-360. </w:t>
      </w:r>
    </w:p>
    <w:p w14:paraId="49155EB1" w14:textId="42995515" w:rsidR="00B65250" w:rsidRPr="00662AC8" w:rsidRDefault="00B65250" w:rsidP="00B9215E">
      <w:pPr>
        <w:pStyle w:val="Default"/>
        <w:spacing w:line="360" w:lineRule="auto"/>
        <w:rPr>
          <w:rFonts w:ascii="Calibri" w:hAnsi="Calibri" w:cs="Calibri"/>
          <w:color w:val="auto"/>
          <w:kern w:val="2"/>
          <w:sz w:val="22"/>
          <w:szCs w:val="22"/>
        </w:rPr>
      </w:pPr>
    </w:p>
    <w:p w14:paraId="3965FC1D" w14:textId="34876694" w:rsidR="1E6C2C09" w:rsidRPr="00662AC8" w:rsidRDefault="1E6C2C09" w:rsidP="00B9215E">
      <w:pPr>
        <w:pStyle w:val="Default"/>
        <w:spacing w:line="360" w:lineRule="auto"/>
        <w:rPr>
          <w:rFonts w:ascii="Calibri" w:hAnsi="Calibri" w:cs="Calibri"/>
          <w:color w:val="auto"/>
          <w:sz w:val="22"/>
          <w:szCs w:val="22"/>
        </w:rPr>
      </w:pPr>
      <w:r w:rsidRPr="00662AC8">
        <w:rPr>
          <w:rFonts w:ascii="Calibri" w:hAnsi="Calibri" w:cs="Calibri"/>
          <w:color w:val="auto"/>
          <w:sz w:val="22"/>
          <w:szCs w:val="22"/>
        </w:rPr>
        <w:t xml:space="preserve">Secker, J &amp; Morrison, C., (2020) Will the pandemic force universities to address the challenges of copyright. </w:t>
      </w:r>
      <w:proofErr w:type="spellStart"/>
      <w:r w:rsidRPr="00662AC8">
        <w:rPr>
          <w:rFonts w:ascii="Calibri" w:hAnsi="Calibri" w:cs="Calibri"/>
          <w:color w:val="auto"/>
          <w:sz w:val="22"/>
          <w:szCs w:val="22"/>
        </w:rPr>
        <w:t>WonkHE</w:t>
      </w:r>
      <w:proofErr w:type="spellEnd"/>
      <w:r w:rsidRPr="00662AC8">
        <w:rPr>
          <w:rFonts w:ascii="Calibri" w:hAnsi="Calibri" w:cs="Calibri"/>
          <w:color w:val="auto"/>
          <w:sz w:val="22"/>
          <w:szCs w:val="22"/>
        </w:rPr>
        <w:t xml:space="preserve"> blog. Available at: </w:t>
      </w:r>
      <w:hyperlink r:id="rId6">
        <w:r w:rsidRPr="00662AC8">
          <w:rPr>
            <w:rStyle w:val="Hyperlink"/>
            <w:rFonts w:ascii="Calibri" w:hAnsi="Calibri" w:cs="Calibri"/>
            <w:sz w:val="22"/>
            <w:szCs w:val="22"/>
          </w:rPr>
          <w:t>https://wonkhe.com/blogs/will-the-pandemic-force-universities-to-address-the-challenges-of-copyright-2/</w:t>
        </w:r>
      </w:hyperlink>
      <w:r w:rsidRPr="00662AC8">
        <w:rPr>
          <w:rFonts w:ascii="Calibri" w:hAnsi="Calibri" w:cs="Calibri"/>
          <w:color w:val="auto"/>
          <w:sz w:val="22"/>
          <w:szCs w:val="22"/>
        </w:rPr>
        <w:t xml:space="preserve"> </w:t>
      </w:r>
    </w:p>
    <w:p w14:paraId="70694492" w14:textId="104F7A70" w:rsidR="1E6C2C09" w:rsidRPr="00662AC8" w:rsidRDefault="1E6C2C09" w:rsidP="00B9215E">
      <w:pPr>
        <w:pStyle w:val="Default"/>
        <w:spacing w:line="360" w:lineRule="auto"/>
        <w:rPr>
          <w:rFonts w:ascii="Calibri" w:hAnsi="Calibri" w:cs="Calibri"/>
          <w:color w:val="auto"/>
          <w:sz w:val="22"/>
          <w:szCs w:val="22"/>
        </w:rPr>
      </w:pPr>
    </w:p>
    <w:p w14:paraId="53DE87A3" w14:textId="2E9D330B" w:rsidR="00B65250" w:rsidRPr="00662AC8" w:rsidRDefault="00B65250" w:rsidP="00B9215E">
      <w:pPr>
        <w:pStyle w:val="Default"/>
        <w:spacing w:line="360" w:lineRule="auto"/>
        <w:rPr>
          <w:rFonts w:ascii="Calibri" w:hAnsi="Calibri" w:cs="Calibri"/>
          <w:color w:val="auto"/>
          <w:kern w:val="2"/>
          <w:sz w:val="22"/>
          <w:szCs w:val="22"/>
        </w:rPr>
      </w:pPr>
      <w:r w:rsidRPr="00662AC8">
        <w:rPr>
          <w:rFonts w:ascii="Calibri" w:hAnsi="Calibri" w:cs="Calibri"/>
          <w:color w:val="auto"/>
          <w:kern w:val="2"/>
          <w:sz w:val="22"/>
          <w:szCs w:val="22"/>
        </w:rPr>
        <w:t xml:space="preserve">Secker, J. &amp; Morrison, C., (2022). Playing with Copyright, The Journal of Play in Adulthood 4(2), 106-125. </w:t>
      </w:r>
      <w:proofErr w:type="spellStart"/>
      <w:r w:rsidRPr="00662AC8">
        <w:rPr>
          <w:rFonts w:ascii="Calibri" w:hAnsi="Calibri" w:cs="Calibri"/>
          <w:color w:val="auto"/>
          <w:kern w:val="2"/>
          <w:sz w:val="22"/>
          <w:szCs w:val="22"/>
        </w:rPr>
        <w:t>doi</w:t>
      </w:r>
      <w:proofErr w:type="spellEnd"/>
      <w:r w:rsidRPr="00662AC8">
        <w:rPr>
          <w:rFonts w:ascii="Calibri" w:hAnsi="Calibri" w:cs="Calibri"/>
          <w:color w:val="auto"/>
          <w:kern w:val="2"/>
          <w:sz w:val="22"/>
          <w:szCs w:val="22"/>
        </w:rPr>
        <w:t xml:space="preserve">: </w:t>
      </w:r>
      <w:hyperlink r:id="rId7">
        <w:r w:rsidR="1E6C2C09" w:rsidRPr="00662AC8">
          <w:rPr>
            <w:rStyle w:val="Hyperlink"/>
            <w:rFonts w:ascii="Calibri" w:hAnsi="Calibri" w:cs="Calibri"/>
            <w:sz w:val="22"/>
            <w:szCs w:val="22"/>
          </w:rPr>
          <w:t>https://doi.org/10.5920/jpa.1034 </w:t>
        </w:r>
      </w:hyperlink>
    </w:p>
    <w:p w14:paraId="1B06622B" w14:textId="77777777" w:rsidR="00B65250" w:rsidRPr="00662AC8" w:rsidRDefault="00B65250" w:rsidP="00B9215E">
      <w:pPr>
        <w:pStyle w:val="Default"/>
        <w:spacing w:line="360" w:lineRule="auto"/>
        <w:rPr>
          <w:rFonts w:ascii="Calibri" w:hAnsi="Calibri" w:cs="Calibri"/>
          <w:sz w:val="22"/>
          <w:szCs w:val="22"/>
        </w:rPr>
      </w:pPr>
    </w:p>
    <w:p w14:paraId="5EF0B8F3" w14:textId="77777777" w:rsidR="00B65250" w:rsidRPr="00662AC8" w:rsidRDefault="00B65250" w:rsidP="00B9215E">
      <w:pPr>
        <w:spacing w:line="360" w:lineRule="auto"/>
        <w:rPr>
          <w:rFonts w:ascii="Calibri" w:hAnsi="Calibri" w:cs="Calibri"/>
          <w:sz w:val="22"/>
          <w:szCs w:val="22"/>
        </w:rPr>
      </w:pPr>
      <w:proofErr w:type="spellStart"/>
      <w:r w:rsidRPr="00662AC8">
        <w:rPr>
          <w:rFonts w:ascii="Calibri" w:hAnsi="Calibri" w:cs="Calibri"/>
          <w:sz w:val="22"/>
          <w:szCs w:val="22"/>
        </w:rPr>
        <w:t>Wakaruk</w:t>
      </w:r>
      <w:proofErr w:type="spellEnd"/>
      <w:r w:rsidRPr="00662AC8">
        <w:rPr>
          <w:rFonts w:ascii="Calibri" w:hAnsi="Calibri" w:cs="Calibri"/>
          <w:sz w:val="22"/>
          <w:szCs w:val="22"/>
        </w:rPr>
        <w:t xml:space="preserve">, A., Gareau-Brennan, C., </w:t>
      </w:r>
      <w:proofErr w:type="spellStart"/>
      <w:r w:rsidRPr="00662AC8">
        <w:rPr>
          <w:rFonts w:ascii="Calibri" w:hAnsi="Calibri" w:cs="Calibri"/>
          <w:sz w:val="22"/>
          <w:szCs w:val="22"/>
        </w:rPr>
        <w:t>Pietrosanu</w:t>
      </w:r>
      <w:proofErr w:type="spellEnd"/>
      <w:r w:rsidRPr="00662AC8">
        <w:rPr>
          <w:rFonts w:ascii="Calibri" w:hAnsi="Calibri" w:cs="Calibri"/>
          <w:sz w:val="22"/>
          <w:szCs w:val="22"/>
        </w:rPr>
        <w:t>, P. (2021). Introducing the Copyright Anxiety Scale. Journal of Copyright in Education and Librarianship, 5(1), 1–38. https://doi.org/10.17161/jcel.v5i1.15212</w:t>
      </w:r>
    </w:p>
    <w:p w14:paraId="5CF7098F" w14:textId="77777777" w:rsidR="0088588B" w:rsidRPr="00662AC8" w:rsidRDefault="0088588B" w:rsidP="00B9215E">
      <w:pPr>
        <w:spacing w:line="360" w:lineRule="auto"/>
        <w:rPr>
          <w:rFonts w:ascii="Calibri" w:hAnsi="Calibri" w:cs="Calibri"/>
          <w:sz w:val="22"/>
          <w:szCs w:val="22"/>
        </w:rPr>
      </w:pPr>
    </w:p>
    <w:sectPr w:rsidR="0088588B" w:rsidRPr="00662AC8" w:rsidSect="0067704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9FCF1"/>
    <w:multiLevelType w:val="hybridMultilevel"/>
    <w:tmpl w:val="A1609052"/>
    <w:lvl w:ilvl="0" w:tplc="28362574">
      <w:start w:val="1"/>
      <w:numFmt w:val="bullet"/>
      <w:lvlText w:val=""/>
      <w:lvlJc w:val="left"/>
      <w:pPr>
        <w:ind w:left="720" w:hanging="360"/>
      </w:pPr>
      <w:rPr>
        <w:rFonts w:ascii="Symbol" w:hAnsi="Symbol" w:hint="default"/>
      </w:rPr>
    </w:lvl>
    <w:lvl w:ilvl="1" w:tplc="34C0FCAE">
      <w:start w:val="1"/>
      <w:numFmt w:val="bullet"/>
      <w:lvlText w:val="o"/>
      <w:lvlJc w:val="left"/>
      <w:pPr>
        <w:ind w:left="1440" w:hanging="360"/>
      </w:pPr>
      <w:rPr>
        <w:rFonts w:ascii="Courier New" w:hAnsi="Courier New" w:hint="default"/>
      </w:rPr>
    </w:lvl>
    <w:lvl w:ilvl="2" w:tplc="5D34FA90">
      <w:start w:val="1"/>
      <w:numFmt w:val="bullet"/>
      <w:lvlText w:val=""/>
      <w:lvlJc w:val="left"/>
      <w:pPr>
        <w:ind w:left="2160" w:hanging="360"/>
      </w:pPr>
      <w:rPr>
        <w:rFonts w:ascii="Wingdings" w:hAnsi="Wingdings" w:hint="default"/>
      </w:rPr>
    </w:lvl>
    <w:lvl w:ilvl="3" w:tplc="F72E4D58">
      <w:start w:val="1"/>
      <w:numFmt w:val="bullet"/>
      <w:lvlText w:val=""/>
      <w:lvlJc w:val="left"/>
      <w:pPr>
        <w:ind w:left="2880" w:hanging="360"/>
      </w:pPr>
      <w:rPr>
        <w:rFonts w:ascii="Symbol" w:hAnsi="Symbol" w:hint="default"/>
      </w:rPr>
    </w:lvl>
    <w:lvl w:ilvl="4" w:tplc="80828836">
      <w:start w:val="1"/>
      <w:numFmt w:val="bullet"/>
      <w:lvlText w:val="o"/>
      <w:lvlJc w:val="left"/>
      <w:pPr>
        <w:ind w:left="3600" w:hanging="360"/>
      </w:pPr>
      <w:rPr>
        <w:rFonts w:ascii="Courier New" w:hAnsi="Courier New" w:hint="default"/>
      </w:rPr>
    </w:lvl>
    <w:lvl w:ilvl="5" w:tplc="FAA2B9DC">
      <w:start w:val="1"/>
      <w:numFmt w:val="bullet"/>
      <w:lvlText w:val=""/>
      <w:lvlJc w:val="left"/>
      <w:pPr>
        <w:ind w:left="4320" w:hanging="360"/>
      </w:pPr>
      <w:rPr>
        <w:rFonts w:ascii="Wingdings" w:hAnsi="Wingdings" w:hint="default"/>
      </w:rPr>
    </w:lvl>
    <w:lvl w:ilvl="6" w:tplc="D2801E9E">
      <w:start w:val="1"/>
      <w:numFmt w:val="bullet"/>
      <w:lvlText w:val=""/>
      <w:lvlJc w:val="left"/>
      <w:pPr>
        <w:ind w:left="5040" w:hanging="360"/>
      </w:pPr>
      <w:rPr>
        <w:rFonts w:ascii="Symbol" w:hAnsi="Symbol" w:hint="default"/>
      </w:rPr>
    </w:lvl>
    <w:lvl w:ilvl="7" w:tplc="0BECB344">
      <w:start w:val="1"/>
      <w:numFmt w:val="bullet"/>
      <w:lvlText w:val="o"/>
      <w:lvlJc w:val="left"/>
      <w:pPr>
        <w:ind w:left="5760" w:hanging="360"/>
      </w:pPr>
      <w:rPr>
        <w:rFonts w:ascii="Courier New" w:hAnsi="Courier New" w:hint="default"/>
      </w:rPr>
    </w:lvl>
    <w:lvl w:ilvl="8" w:tplc="CB7A9F28">
      <w:start w:val="1"/>
      <w:numFmt w:val="bullet"/>
      <w:lvlText w:val=""/>
      <w:lvlJc w:val="left"/>
      <w:pPr>
        <w:ind w:left="6480" w:hanging="360"/>
      </w:pPr>
      <w:rPr>
        <w:rFonts w:ascii="Wingdings" w:hAnsi="Wingdings" w:hint="default"/>
      </w:rPr>
    </w:lvl>
  </w:abstractNum>
  <w:num w:numId="1" w16cid:durableId="114878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50"/>
    <w:rsid w:val="00035875"/>
    <w:rsid w:val="00050D1C"/>
    <w:rsid w:val="00054A5B"/>
    <w:rsid w:val="00084179"/>
    <w:rsid w:val="001C4651"/>
    <w:rsid w:val="00215663"/>
    <w:rsid w:val="002717B9"/>
    <w:rsid w:val="002D14A3"/>
    <w:rsid w:val="002E4DF7"/>
    <w:rsid w:val="005D6C51"/>
    <w:rsid w:val="005F6023"/>
    <w:rsid w:val="00662AC8"/>
    <w:rsid w:val="0067704F"/>
    <w:rsid w:val="006B6AE5"/>
    <w:rsid w:val="007C1B97"/>
    <w:rsid w:val="0088588B"/>
    <w:rsid w:val="008E4F7B"/>
    <w:rsid w:val="00A82530"/>
    <w:rsid w:val="00B65250"/>
    <w:rsid w:val="00B9215E"/>
    <w:rsid w:val="00BE5A95"/>
    <w:rsid w:val="00D07DD8"/>
    <w:rsid w:val="00D9296E"/>
    <w:rsid w:val="00E712AF"/>
    <w:rsid w:val="00F83BA4"/>
    <w:rsid w:val="00FA5821"/>
    <w:rsid w:val="00FF32EE"/>
    <w:rsid w:val="13DDECDE"/>
    <w:rsid w:val="1E6C2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297851"/>
  <w14:defaultImageDpi w14:val="32767"/>
  <w15:chartTrackingRefBased/>
  <w15:docId w15:val="{A8632B24-34F4-FA41-8BFD-81822ED7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5250"/>
  </w:style>
  <w:style w:type="paragraph" w:styleId="Heading1">
    <w:name w:val="heading 1"/>
    <w:basedOn w:val="Normal"/>
    <w:next w:val="Normal"/>
    <w:link w:val="Heading1Char"/>
    <w:uiPriority w:val="9"/>
    <w:qFormat/>
    <w:rsid w:val="00B6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5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2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2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2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2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5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5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250"/>
    <w:rPr>
      <w:rFonts w:eastAsiaTheme="majorEastAsia" w:cstheme="majorBidi"/>
      <w:color w:val="272727" w:themeColor="text1" w:themeTint="D8"/>
    </w:rPr>
  </w:style>
  <w:style w:type="paragraph" w:styleId="Title">
    <w:name w:val="Title"/>
    <w:basedOn w:val="Normal"/>
    <w:next w:val="Normal"/>
    <w:link w:val="TitleChar"/>
    <w:uiPriority w:val="10"/>
    <w:qFormat/>
    <w:rsid w:val="00B652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2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2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250"/>
    <w:rPr>
      <w:i/>
      <w:iCs/>
      <w:color w:val="404040" w:themeColor="text1" w:themeTint="BF"/>
    </w:rPr>
  </w:style>
  <w:style w:type="paragraph" w:styleId="ListParagraph">
    <w:name w:val="List Paragraph"/>
    <w:basedOn w:val="Normal"/>
    <w:uiPriority w:val="34"/>
    <w:qFormat/>
    <w:rsid w:val="00B65250"/>
    <w:pPr>
      <w:ind w:left="720"/>
      <w:contextualSpacing/>
    </w:pPr>
  </w:style>
  <w:style w:type="character" w:styleId="IntenseEmphasis">
    <w:name w:val="Intense Emphasis"/>
    <w:basedOn w:val="DefaultParagraphFont"/>
    <w:uiPriority w:val="21"/>
    <w:qFormat/>
    <w:rsid w:val="00B65250"/>
    <w:rPr>
      <w:i/>
      <w:iCs/>
      <w:color w:val="0F4761" w:themeColor="accent1" w:themeShade="BF"/>
    </w:rPr>
  </w:style>
  <w:style w:type="paragraph" w:styleId="IntenseQuote">
    <w:name w:val="Intense Quote"/>
    <w:basedOn w:val="Normal"/>
    <w:next w:val="Normal"/>
    <w:link w:val="IntenseQuoteChar"/>
    <w:uiPriority w:val="30"/>
    <w:qFormat/>
    <w:rsid w:val="00B6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250"/>
    <w:rPr>
      <w:i/>
      <w:iCs/>
      <w:color w:val="0F4761" w:themeColor="accent1" w:themeShade="BF"/>
    </w:rPr>
  </w:style>
  <w:style w:type="character" w:styleId="IntenseReference">
    <w:name w:val="Intense Reference"/>
    <w:basedOn w:val="DefaultParagraphFont"/>
    <w:uiPriority w:val="32"/>
    <w:qFormat/>
    <w:rsid w:val="00B65250"/>
    <w:rPr>
      <w:b/>
      <w:bCs/>
      <w:smallCaps/>
      <w:color w:val="0F4761" w:themeColor="accent1" w:themeShade="BF"/>
      <w:spacing w:val="5"/>
    </w:rPr>
  </w:style>
  <w:style w:type="paragraph" w:customStyle="1" w:styleId="Default">
    <w:name w:val="Default"/>
    <w:rsid w:val="00B65250"/>
    <w:pPr>
      <w:autoSpaceDE w:val="0"/>
      <w:autoSpaceDN w:val="0"/>
      <w:adjustRightInd w:val="0"/>
    </w:pPr>
    <w:rPr>
      <w:rFonts w:ascii="Cambria" w:hAnsi="Cambria" w:cs="Cambria"/>
      <w:color w:val="000000"/>
      <w:kern w:val="0"/>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BE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920/jpa.1034&#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nkhe.com/blogs/will-the-pandemic-force-universities-to-address-the-challenges-of-copyright-2/" TargetMode="External"/><Relationship Id="rId5" Type="http://schemas.openxmlformats.org/officeDocument/2006/relationships/hyperlink" Target="https://cmsimpact.org/wp-content/uploads/2016/03/Final_CSM_copyright_report_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Secker, Jane</dc:creator>
  <cp:keywords/>
  <dc:description/>
  <cp:lastModifiedBy>Jane Mooney</cp:lastModifiedBy>
  <cp:revision>10</cp:revision>
  <dcterms:created xsi:type="dcterms:W3CDTF">2025-03-27T13:12:00Z</dcterms:created>
  <dcterms:modified xsi:type="dcterms:W3CDTF">2025-08-07T16:09:00Z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2025-02-04T21:43:47Z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0de71684-91a7-422c-aaf7-f94ee0e4b545</vt:lpwstr>
  </property>
  <property fmtid="{D5CDD505-2E9C-101B-9397-08002B2CF9AE}" pid="8" name="MSIP_Label_06c24981-b6df-48f8-949b-0896357b9b03_ContentBits">
    <vt:lpwstr>0</vt:lpwstr>
  </property>
</Properties>
</file>