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DB" w:rsidRPr="00853CDB" w:rsidRDefault="00853CDB" w:rsidP="00853CDB">
      <w:pPr>
        <w:keepNext/>
        <w:keepLines/>
        <w:spacing w:after="0" w:line="360" w:lineRule="auto"/>
        <w:outlineLvl w:val="0"/>
        <w:rPr>
          <w:rFonts w:ascii="Palatino Linotype" w:eastAsia="Times New Roman" w:hAnsi="Palatino Linotype" w:cs="Times New Roman"/>
          <w:b/>
          <w:bCs/>
          <w:sz w:val="28"/>
          <w:szCs w:val="28"/>
        </w:rPr>
      </w:pPr>
      <w:bookmarkStart w:id="0" w:name="_Toc424273748"/>
      <w:r w:rsidRPr="00853CDB">
        <w:rPr>
          <w:rFonts w:ascii="Palatino Linotype" w:eastAsia="Times New Roman" w:hAnsi="Palatino Linotype" w:cs="Times New Roman"/>
          <w:b/>
          <w:bCs/>
          <w:sz w:val="28"/>
          <w:szCs w:val="28"/>
        </w:rPr>
        <w:t>Introduction</w:t>
      </w:r>
      <w:bookmarkEnd w:id="0"/>
      <w:r w:rsidRPr="00853CDB">
        <w:rPr>
          <w:rFonts w:ascii="Palatino Linotype" w:eastAsia="Times New Roman" w:hAnsi="Palatino Linotype" w:cs="Times New Roman"/>
          <w:b/>
          <w:bCs/>
          <w:sz w:val="28"/>
          <w:szCs w:val="28"/>
        </w:rPr>
        <w:t xml:space="preserve"> </w:t>
      </w:r>
    </w:p>
    <w:p w:rsidR="00853CDB" w:rsidRPr="00853CDB" w:rsidRDefault="00853CDB" w:rsidP="00853CDB">
      <w:pPr>
        <w:spacing w:after="0" w:line="360" w:lineRule="auto"/>
        <w:rPr>
          <w:rFonts w:ascii="Palatino Linotype" w:eastAsia="Calibri" w:hAnsi="Palatino Linotype" w:cs="Times New Roman"/>
        </w:rPr>
      </w:pPr>
    </w:p>
    <w:p w:rsidR="00853CDB" w:rsidRPr="00853CDB" w:rsidRDefault="00853CDB" w:rsidP="00853CDB">
      <w:pPr>
        <w:spacing w:after="0" w:line="360" w:lineRule="auto"/>
        <w:jc w:val="both"/>
        <w:rPr>
          <w:rFonts w:ascii="Palatino Linotype" w:eastAsia="Calibri" w:hAnsi="Palatino Linotype" w:cs="Times New Roman"/>
          <w:i/>
        </w:rPr>
      </w:pPr>
      <w:r w:rsidRPr="00853CDB">
        <w:rPr>
          <w:rFonts w:ascii="Palatino Linotype" w:eastAsia="Calibri" w:hAnsi="Palatino Linotype" w:cs="Times New Roman"/>
          <w:i/>
        </w:rPr>
        <w:t xml:space="preserve">About the North East Third Sector Research Group </w:t>
      </w:r>
    </w:p>
    <w:p w:rsidR="00853CDB" w:rsidRPr="00853CDB" w:rsidRDefault="00853CDB" w:rsidP="00853CDB">
      <w:pPr>
        <w:spacing w:after="0" w:line="360" w:lineRule="auto"/>
        <w:jc w:val="both"/>
        <w:rPr>
          <w:rFonts w:ascii="Palatino Linotype" w:eastAsia="Calibri" w:hAnsi="Palatino Linotype" w:cs="Times New Roman"/>
        </w:rPr>
      </w:pPr>
      <w:r w:rsidRPr="00853CDB">
        <w:rPr>
          <w:rFonts w:ascii="Palatino Linotype" w:eastAsia="Calibri" w:hAnsi="Palatino Linotype" w:cs="Times New Roman"/>
        </w:rPr>
        <w:t xml:space="preserve">The North East Third Sector Research Group (NETSRG) was established in 2013, with the aim of increasing the engagement of Third Sector professionals with academic literature (such as peer-reviewed journal articles, book chapters and conference papers) on topics of relevance to the sector.  The group is underpinned by the premise that an abundance of research is produced by academics, which could be of benefit to the Third Sector, but is rarely accessed and translated into practice due to a range of barriers.  The group was set up in a voluntary capacity by Keith Nicholson with support from Adele Irving and is made up of around 50 members. </w:t>
      </w:r>
    </w:p>
    <w:p w:rsidR="00853CDB" w:rsidRPr="00853CDB" w:rsidRDefault="00853CDB" w:rsidP="00853CDB">
      <w:pPr>
        <w:spacing w:after="0" w:line="360" w:lineRule="auto"/>
        <w:jc w:val="both"/>
        <w:rPr>
          <w:rFonts w:ascii="Palatino Linotype" w:eastAsia="Calibri" w:hAnsi="Palatino Linotype" w:cs="Times New Roman"/>
        </w:rPr>
      </w:pPr>
    </w:p>
    <w:p w:rsidR="00853CDB" w:rsidRPr="00853CDB" w:rsidRDefault="00853CDB" w:rsidP="00853CDB">
      <w:pPr>
        <w:spacing w:after="0" w:line="360" w:lineRule="auto"/>
        <w:jc w:val="both"/>
        <w:rPr>
          <w:rFonts w:ascii="Palatino Linotype" w:eastAsia="Calibri" w:hAnsi="Palatino Linotype" w:cs="Times New Roman"/>
        </w:rPr>
      </w:pPr>
      <w:r w:rsidRPr="00853CDB">
        <w:rPr>
          <w:rFonts w:ascii="Palatino Linotype" w:eastAsia="Calibri" w:hAnsi="Palatino Linotype" w:cs="Times New Roman"/>
        </w:rPr>
        <w:t xml:space="preserve">The primary activity of the group is quarterly seminars. Each seminar focuses on a key theme chosen by members and a critique of three academic outputs. Each output is reviewed in relation to three key questions: </w:t>
      </w:r>
    </w:p>
    <w:p w:rsidR="00853CDB" w:rsidRPr="00853CDB" w:rsidRDefault="00853CDB" w:rsidP="00853CDB">
      <w:pPr>
        <w:spacing w:after="0" w:line="360" w:lineRule="auto"/>
        <w:jc w:val="both"/>
        <w:rPr>
          <w:rFonts w:ascii="Palatino Linotype" w:eastAsia="Calibri" w:hAnsi="Palatino Linotype" w:cs="Times New Roman"/>
        </w:rPr>
      </w:pPr>
    </w:p>
    <w:p w:rsidR="00853CDB" w:rsidRPr="00853CDB" w:rsidRDefault="00853CDB" w:rsidP="00853CDB">
      <w:pPr>
        <w:numPr>
          <w:ilvl w:val="0"/>
          <w:numId w:val="1"/>
        </w:numPr>
        <w:spacing w:after="0" w:line="360" w:lineRule="auto"/>
        <w:contextualSpacing/>
        <w:jc w:val="both"/>
        <w:rPr>
          <w:rFonts w:ascii="Palatino Linotype" w:eastAsia="Calibri" w:hAnsi="Palatino Linotype" w:cs="Times New Roman"/>
        </w:rPr>
      </w:pPr>
      <w:r w:rsidRPr="00853CDB">
        <w:rPr>
          <w:rFonts w:ascii="Palatino Linotype" w:eastAsia="Calibri" w:hAnsi="Palatino Linotype" w:cs="Times New Roman"/>
        </w:rPr>
        <w:t>What theory or position is the paper attempting to present?</w:t>
      </w:r>
    </w:p>
    <w:p w:rsidR="00853CDB" w:rsidRPr="00853CDB" w:rsidRDefault="00853CDB" w:rsidP="00853CDB">
      <w:pPr>
        <w:numPr>
          <w:ilvl w:val="0"/>
          <w:numId w:val="1"/>
        </w:numPr>
        <w:spacing w:after="0" w:line="360" w:lineRule="auto"/>
        <w:contextualSpacing/>
        <w:jc w:val="both"/>
        <w:rPr>
          <w:rFonts w:ascii="Palatino Linotype" w:eastAsia="Calibri" w:hAnsi="Palatino Linotype" w:cs="Times New Roman"/>
        </w:rPr>
      </w:pPr>
      <w:r w:rsidRPr="00853CDB">
        <w:rPr>
          <w:rFonts w:ascii="Palatino Linotype" w:eastAsia="Calibri" w:hAnsi="Palatino Linotype" w:cs="Times New Roman"/>
        </w:rPr>
        <w:t>To what extent do you agree with this?</w:t>
      </w:r>
    </w:p>
    <w:p w:rsidR="00853CDB" w:rsidRPr="00853CDB" w:rsidRDefault="00853CDB" w:rsidP="00853CDB">
      <w:pPr>
        <w:numPr>
          <w:ilvl w:val="0"/>
          <w:numId w:val="1"/>
        </w:numPr>
        <w:spacing w:after="0" w:line="360" w:lineRule="auto"/>
        <w:contextualSpacing/>
        <w:jc w:val="both"/>
        <w:rPr>
          <w:rFonts w:ascii="Palatino Linotype" w:eastAsia="Calibri" w:hAnsi="Palatino Linotype" w:cs="Times New Roman"/>
        </w:rPr>
      </w:pPr>
      <w:r w:rsidRPr="00853CDB">
        <w:rPr>
          <w:rFonts w:ascii="Palatino Linotype" w:eastAsia="Calibri" w:hAnsi="Palatino Linotype" w:cs="Times New Roman"/>
        </w:rPr>
        <w:t xml:space="preserve">What value does the output have for the Third Sector? </w:t>
      </w:r>
    </w:p>
    <w:p w:rsidR="00853CDB" w:rsidRPr="00853CDB" w:rsidRDefault="00853CDB" w:rsidP="00853CDB">
      <w:pPr>
        <w:spacing w:after="0" w:line="360" w:lineRule="auto"/>
        <w:jc w:val="both"/>
        <w:rPr>
          <w:rFonts w:ascii="Palatino Linotype" w:eastAsia="Calibri" w:hAnsi="Palatino Linotype" w:cs="Times New Roman"/>
        </w:rPr>
      </w:pPr>
    </w:p>
    <w:p w:rsidR="00853CDB" w:rsidRPr="00853CDB" w:rsidRDefault="00853CDB" w:rsidP="00853CDB">
      <w:pPr>
        <w:spacing w:after="0" w:line="360" w:lineRule="auto"/>
        <w:jc w:val="both"/>
        <w:rPr>
          <w:rFonts w:ascii="Palatino Linotype" w:eastAsia="Calibri" w:hAnsi="Palatino Linotype" w:cs="Times New Roman"/>
        </w:rPr>
      </w:pPr>
      <w:r w:rsidRPr="00853CDB">
        <w:rPr>
          <w:rFonts w:ascii="Palatino Linotype" w:eastAsia="Calibri" w:hAnsi="Palatino Linotype" w:cs="Times New Roman"/>
        </w:rPr>
        <w:t>In addition to this, the group organises a number of ad hoc events aimed at exploring barriers to engagement between academia and the Third Sector and building collaborative relationships with all of the region’s five universities, in order to maximise knowledge exchange.  In June 2014, the group held its first workshop at Northumbria University – ‘</w:t>
      </w:r>
      <w:r w:rsidRPr="00853CDB">
        <w:rPr>
          <w:rFonts w:ascii="Palatino Linotype" w:eastAsia="Calibri" w:hAnsi="Palatino Linotype" w:cs="Times New Roman"/>
          <w:i/>
        </w:rPr>
        <w:t>Partnerships for Impact’</w:t>
      </w:r>
      <w:r w:rsidRPr="00853CDB">
        <w:rPr>
          <w:rFonts w:ascii="Palatino Linotype" w:eastAsia="Calibri" w:hAnsi="Palatino Linotype" w:cs="Times New Roman"/>
        </w:rPr>
        <w:t xml:space="preserve"> – with was an important step towards achieving these wider aims. </w:t>
      </w:r>
    </w:p>
    <w:p w:rsidR="00853CDB" w:rsidRPr="00853CDB" w:rsidRDefault="00853CDB" w:rsidP="00853CDB">
      <w:pPr>
        <w:spacing w:after="0" w:line="360" w:lineRule="auto"/>
        <w:jc w:val="both"/>
        <w:rPr>
          <w:rFonts w:ascii="Palatino Linotype" w:eastAsia="Calibri" w:hAnsi="Palatino Linotype" w:cs="Times New Roman"/>
        </w:rPr>
      </w:pPr>
    </w:p>
    <w:p w:rsidR="00853CDB" w:rsidRPr="00853CDB" w:rsidRDefault="00853CDB" w:rsidP="00853CDB">
      <w:pPr>
        <w:spacing w:after="0" w:line="360" w:lineRule="auto"/>
        <w:jc w:val="both"/>
        <w:rPr>
          <w:rFonts w:ascii="Palatino Linotype" w:eastAsia="Calibri" w:hAnsi="Palatino Linotype" w:cs="Times New Roman"/>
        </w:rPr>
      </w:pPr>
      <w:r w:rsidRPr="00853CDB">
        <w:rPr>
          <w:rFonts w:ascii="Palatino Linotype" w:eastAsia="Calibri" w:hAnsi="Palatino Linotype" w:cs="Times New Roman"/>
        </w:rPr>
        <w:t xml:space="preserve">The work of the NETSRG will remain important and of relevance to Third Sector professionals, as long as academics continue to produce work which is of use and can be translated to those working in civil society. </w:t>
      </w:r>
    </w:p>
    <w:p w:rsidR="00853CDB" w:rsidRPr="00853CDB" w:rsidRDefault="00853CDB" w:rsidP="00853CDB">
      <w:pPr>
        <w:spacing w:after="0" w:line="360" w:lineRule="auto"/>
        <w:jc w:val="both"/>
        <w:rPr>
          <w:rFonts w:ascii="Palatino Linotype" w:eastAsia="Calibri" w:hAnsi="Palatino Linotype" w:cs="Times New Roman"/>
        </w:rPr>
      </w:pPr>
    </w:p>
    <w:p w:rsidR="00853CDB" w:rsidRPr="00853CDB" w:rsidRDefault="00853CDB" w:rsidP="00853CDB">
      <w:pPr>
        <w:spacing w:after="160" w:line="259" w:lineRule="auto"/>
        <w:rPr>
          <w:rFonts w:ascii="Palatino Linotype" w:eastAsia="Calibri" w:hAnsi="Palatino Linotype" w:cs="Times New Roman"/>
          <w:i/>
        </w:rPr>
      </w:pPr>
      <w:r w:rsidRPr="00853CDB">
        <w:rPr>
          <w:rFonts w:ascii="Palatino Linotype" w:eastAsia="Calibri" w:hAnsi="Palatino Linotype" w:cs="Times New Roman"/>
          <w:i/>
        </w:rPr>
        <w:br w:type="page"/>
      </w:r>
    </w:p>
    <w:p w:rsidR="00853CDB" w:rsidRPr="00853CDB" w:rsidRDefault="00853CDB" w:rsidP="00853CDB">
      <w:pPr>
        <w:spacing w:after="160" w:line="259" w:lineRule="auto"/>
        <w:rPr>
          <w:rFonts w:ascii="Palatino Linotype" w:eastAsia="Calibri" w:hAnsi="Palatino Linotype" w:cs="Times New Roman"/>
          <w:i/>
        </w:rPr>
      </w:pPr>
      <w:r w:rsidRPr="00853CDB">
        <w:rPr>
          <w:rFonts w:ascii="Palatino Linotype" w:eastAsia="Calibri" w:hAnsi="Palatino Linotype" w:cs="Times New Roman"/>
          <w:i/>
        </w:rPr>
        <w:lastRenderedPageBreak/>
        <w:t xml:space="preserve">About the NETSRG Digest </w:t>
      </w:r>
    </w:p>
    <w:p w:rsidR="00853CDB" w:rsidRPr="00853CDB" w:rsidRDefault="00853CDB" w:rsidP="00853CDB">
      <w:pPr>
        <w:spacing w:after="0" w:line="360" w:lineRule="auto"/>
        <w:jc w:val="both"/>
        <w:rPr>
          <w:rFonts w:ascii="Palatino Linotype" w:eastAsia="Calibri" w:hAnsi="Palatino Linotype" w:cs="Times New Roman"/>
        </w:rPr>
      </w:pPr>
      <w:r w:rsidRPr="00853CDB">
        <w:rPr>
          <w:rFonts w:ascii="Palatino Linotype" w:eastAsia="Calibri" w:hAnsi="Palatino Linotype" w:cs="Times New Roman"/>
        </w:rPr>
        <w:t xml:space="preserve">This digest is the first of an annual publication, which the group intends to produce. It provides an opportunity for leading academics in their fields to engage in the task of translating academic research on key themes to the Third Sector in the North East and for group members to share some of the insights which they gained from reviewing this work.  Importantly, the digest also affords us, the organisers, a chance to thank everyone who has contributed to the group throughout its first year; names too many to list and contributions from organising events to attending meetings, reading papers and being generous with their thoughts and reflections, written or otherwise and being part of a movement. </w:t>
      </w:r>
    </w:p>
    <w:p w:rsidR="00853CDB" w:rsidRPr="00853CDB" w:rsidRDefault="00853CDB" w:rsidP="00853CDB">
      <w:pPr>
        <w:spacing w:after="0" w:line="360" w:lineRule="auto"/>
        <w:jc w:val="both"/>
        <w:rPr>
          <w:rFonts w:ascii="Palatino Linotype" w:eastAsia="Calibri" w:hAnsi="Palatino Linotype" w:cs="Times New Roman"/>
        </w:rPr>
      </w:pPr>
    </w:p>
    <w:p w:rsidR="00853CDB" w:rsidRPr="00853CDB" w:rsidRDefault="00853CDB" w:rsidP="00853CDB">
      <w:pPr>
        <w:spacing w:after="0" w:line="360" w:lineRule="auto"/>
        <w:jc w:val="both"/>
        <w:rPr>
          <w:rFonts w:ascii="Palatino Linotype" w:eastAsia="Calibri" w:hAnsi="Palatino Linotype" w:cs="Times New Roman"/>
        </w:rPr>
      </w:pPr>
      <w:r w:rsidRPr="00853CDB">
        <w:rPr>
          <w:rFonts w:ascii="Palatino Linotype" w:eastAsia="Calibri" w:hAnsi="Palatino Linotype" w:cs="Times New Roman"/>
        </w:rPr>
        <w:t xml:space="preserve">The digest is structured around the following four themes which were discussed during 2014: </w:t>
      </w:r>
    </w:p>
    <w:p w:rsidR="00853CDB" w:rsidRPr="00853CDB" w:rsidRDefault="00853CDB" w:rsidP="00853CDB">
      <w:pPr>
        <w:spacing w:after="0" w:line="360" w:lineRule="auto"/>
        <w:jc w:val="both"/>
        <w:rPr>
          <w:rFonts w:ascii="Palatino Linotype" w:eastAsia="Calibri" w:hAnsi="Palatino Linotype" w:cs="Times New Roman"/>
        </w:rPr>
      </w:pPr>
    </w:p>
    <w:p w:rsidR="00853CDB" w:rsidRPr="00853CDB" w:rsidRDefault="00853CDB" w:rsidP="00853CDB">
      <w:pPr>
        <w:numPr>
          <w:ilvl w:val="0"/>
          <w:numId w:val="2"/>
        </w:numPr>
        <w:spacing w:after="0" w:line="360" w:lineRule="auto"/>
        <w:contextualSpacing/>
        <w:jc w:val="both"/>
        <w:rPr>
          <w:rFonts w:ascii="Palatino Linotype" w:eastAsia="Calibri" w:hAnsi="Palatino Linotype" w:cs="Times New Roman"/>
        </w:rPr>
      </w:pPr>
      <w:r w:rsidRPr="00853CDB">
        <w:rPr>
          <w:rFonts w:ascii="Palatino Linotype" w:eastAsia="Calibri" w:hAnsi="Palatino Linotype" w:cs="Times New Roman"/>
        </w:rPr>
        <w:t>Volunteering</w:t>
      </w:r>
    </w:p>
    <w:p w:rsidR="00853CDB" w:rsidRPr="00853CDB" w:rsidRDefault="00853CDB" w:rsidP="00853CDB">
      <w:pPr>
        <w:numPr>
          <w:ilvl w:val="0"/>
          <w:numId w:val="2"/>
        </w:numPr>
        <w:spacing w:after="0" w:line="360" w:lineRule="auto"/>
        <w:contextualSpacing/>
        <w:jc w:val="both"/>
        <w:rPr>
          <w:rFonts w:ascii="Palatino Linotype" w:eastAsia="Calibri" w:hAnsi="Palatino Linotype" w:cs="Times New Roman"/>
        </w:rPr>
      </w:pPr>
      <w:r w:rsidRPr="00853CDB">
        <w:rPr>
          <w:rFonts w:ascii="Palatino Linotype" w:eastAsia="Calibri" w:hAnsi="Palatino Linotype" w:cs="Times New Roman"/>
        </w:rPr>
        <w:t xml:space="preserve">Neo-Liberalism </w:t>
      </w:r>
    </w:p>
    <w:p w:rsidR="00853CDB" w:rsidRPr="00853CDB" w:rsidRDefault="00853CDB" w:rsidP="00853CDB">
      <w:pPr>
        <w:numPr>
          <w:ilvl w:val="0"/>
          <w:numId w:val="2"/>
        </w:numPr>
        <w:spacing w:after="0" w:line="360" w:lineRule="auto"/>
        <w:contextualSpacing/>
        <w:jc w:val="both"/>
        <w:rPr>
          <w:rFonts w:ascii="Palatino Linotype" w:eastAsia="Calibri" w:hAnsi="Palatino Linotype" w:cs="Times New Roman"/>
        </w:rPr>
      </w:pPr>
      <w:r w:rsidRPr="00853CDB">
        <w:rPr>
          <w:rFonts w:ascii="Palatino Linotype" w:eastAsia="Calibri" w:hAnsi="Palatino Linotype" w:cs="Times New Roman"/>
        </w:rPr>
        <w:t>Change Management</w:t>
      </w:r>
    </w:p>
    <w:p w:rsidR="00853CDB" w:rsidRPr="00853CDB" w:rsidRDefault="00853CDB" w:rsidP="00853CDB">
      <w:pPr>
        <w:numPr>
          <w:ilvl w:val="0"/>
          <w:numId w:val="2"/>
        </w:numPr>
        <w:spacing w:after="0" w:line="360" w:lineRule="auto"/>
        <w:contextualSpacing/>
        <w:jc w:val="both"/>
        <w:rPr>
          <w:rFonts w:ascii="Palatino Linotype" w:eastAsia="Calibri" w:hAnsi="Palatino Linotype" w:cs="Times New Roman"/>
        </w:rPr>
      </w:pPr>
      <w:r w:rsidRPr="00853CDB">
        <w:rPr>
          <w:rFonts w:ascii="Palatino Linotype" w:eastAsia="Calibri" w:hAnsi="Palatino Linotype" w:cs="Times New Roman"/>
        </w:rPr>
        <w:t>Individual Giving and Philanthropy</w:t>
      </w:r>
    </w:p>
    <w:p w:rsidR="00853CDB" w:rsidRPr="00853CDB" w:rsidRDefault="00853CDB" w:rsidP="00853CDB">
      <w:pPr>
        <w:spacing w:after="0" w:line="360" w:lineRule="auto"/>
        <w:jc w:val="both"/>
        <w:rPr>
          <w:rFonts w:ascii="Palatino Linotype" w:eastAsia="Calibri" w:hAnsi="Palatino Linotype" w:cs="Times New Roman"/>
        </w:rPr>
      </w:pPr>
    </w:p>
    <w:p w:rsidR="00853CDB" w:rsidRPr="00853CDB" w:rsidRDefault="00853CDB" w:rsidP="00853CDB">
      <w:pPr>
        <w:spacing w:after="0" w:line="360" w:lineRule="auto"/>
        <w:jc w:val="both"/>
        <w:rPr>
          <w:rFonts w:ascii="Palatino Linotype" w:eastAsia="Calibri" w:hAnsi="Palatino Linotype" w:cs="Times New Roman"/>
        </w:rPr>
      </w:pPr>
      <w:r w:rsidRPr="00853CDB">
        <w:rPr>
          <w:rFonts w:ascii="Palatino Linotype" w:eastAsia="Calibri" w:hAnsi="Palatino Linotype" w:cs="Times New Roman"/>
        </w:rPr>
        <w:t xml:space="preserve">The themes form a coherent set of topics which have been of relevance in an ever-changing sector during the year.  From an increasing range of privatised mega-contracts through to challenges in managing change and generating funds, we hope the topics will be of interest to readers of this digest also.  </w:t>
      </w:r>
    </w:p>
    <w:p w:rsidR="00853CDB" w:rsidRPr="00853CDB" w:rsidRDefault="00853CDB" w:rsidP="00853CDB">
      <w:pPr>
        <w:spacing w:after="0" w:line="360" w:lineRule="auto"/>
        <w:jc w:val="both"/>
        <w:rPr>
          <w:rFonts w:ascii="Palatino Linotype" w:eastAsia="Calibri" w:hAnsi="Palatino Linotype" w:cs="Times New Roman"/>
        </w:rPr>
      </w:pPr>
    </w:p>
    <w:p w:rsidR="00853CDB" w:rsidRPr="00853CDB" w:rsidRDefault="00853CDB" w:rsidP="00853CDB">
      <w:pPr>
        <w:spacing w:after="0" w:line="360" w:lineRule="auto"/>
        <w:jc w:val="both"/>
        <w:rPr>
          <w:rFonts w:ascii="Palatino Linotype" w:eastAsia="Calibri" w:hAnsi="Palatino Linotype" w:cs="Times New Roman"/>
        </w:rPr>
      </w:pPr>
      <w:r w:rsidRPr="00853CDB">
        <w:rPr>
          <w:rFonts w:ascii="Palatino Linotype" w:eastAsia="Calibri" w:hAnsi="Palatino Linotype" w:cs="Times New Roman"/>
        </w:rPr>
        <w:t>Each section opens with abstracts for and links to the three academic papers reviewed at the quarterly seminars. Due to issues of copyright, it is not possible to include the full texts of the outputs.</w:t>
      </w:r>
      <w:r w:rsidRPr="00853CDB">
        <w:rPr>
          <w:rFonts w:ascii="Palatino Linotype" w:eastAsia="Calibri" w:hAnsi="Palatino Linotype" w:cs="Times New Roman"/>
          <w:vertAlign w:val="superscript"/>
        </w:rPr>
        <w:footnoteReference w:id="1"/>
      </w:r>
      <w:r w:rsidRPr="00853CDB">
        <w:rPr>
          <w:rFonts w:ascii="Palatino Linotype" w:eastAsia="Calibri" w:hAnsi="Palatino Linotype" w:cs="Times New Roman"/>
        </w:rPr>
        <w:t xml:space="preserve"> These are followed by a contribution from one of the academics who produced one of the three papers reviewed at each seminar. The contributions offer reflections on their work and the work of others in the area. Lastly, each section contains a contribution from a </w:t>
      </w:r>
      <w:r w:rsidRPr="00853CDB">
        <w:rPr>
          <w:rFonts w:ascii="Palatino Linotype" w:eastAsia="Calibri" w:hAnsi="Palatino Linotype" w:cs="Times New Roman"/>
        </w:rPr>
        <w:lastRenderedPageBreak/>
        <w:t xml:space="preserve">Third Sector professional </w:t>
      </w:r>
      <w:proofErr w:type="gramStart"/>
      <w:r w:rsidRPr="00853CDB">
        <w:rPr>
          <w:rFonts w:ascii="Palatino Linotype" w:eastAsia="Calibri" w:hAnsi="Palatino Linotype" w:cs="Times New Roman"/>
        </w:rPr>
        <w:t>who</w:t>
      </w:r>
      <w:proofErr w:type="gramEnd"/>
      <w:r w:rsidRPr="00853CDB">
        <w:rPr>
          <w:rFonts w:ascii="Palatino Linotype" w:eastAsia="Calibri" w:hAnsi="Palatino Linotype" w:cs="Times New Roman"/>
        </w:rPr>
        <w:t xml:space="preserve"> also engaged with the papers and was generous enough to provide written reflections on these. </w:t>
      </w:r>
    </w:p>
    <w:p w:rsidR="00853CDB" w:rsidRPr="00853CDB" w:rsidRDefault="00853CDB" w:rsidP="00853CDB">
      <w:pPr>
        <w:spacing w:after="0" w:line="360" w:lineRule="auto"/>
        <w:jc w:val="both"/>
        <w:rPr>
          <w:rFonts w:ascii="Palatino Linotype" w:eastAsia="Calibri" w:hAnsi="Palatino Linotype" w:cs="Times New Roman"/>
        </w:rPr>
      </w:pPr>
      <w:r w:rsidRPr="00853CDB">
        <w:rPr>
          <w:rFonts w:ascii="Palatino Linotype" w:eastAsia="Calibri" w:hAnsi="Palatino Linotype" w:cs="Times New Roman"/>
        </w:rPr>
        <w:t xml:space="preserve">  </w:t>
      </w:r>
    </w:p>
    <w:p w:rsidR="00853CDB" w:rsidRPr="00853CDB" w:rsidRDefault="00853CDB" w:rsidP="00853CDB">
      <w:pPr>
        <w:spacing w:after="0" w:line="360" w:lineRule="auto"/>
        <w:jc w:val="both"/>
        <w:rPr>
          <w:rFonts w:ascii="Palatino Linotype" w:eastAsia="Calibri" w:hAnsi="Palatino Linotype" w:cs="Times New Roman"/>
        </w:rPr>
      </w:pPr>
      <w:r w:rsidRPr="00853CDB">
        <w:rPr>
          <w:rFonts w:ascii="Palatino Linotype" w:eastAsia="Calibri" w:hAnsi="Palatino Linotype" w:cs="Times New Roman"/>
        </w:rPr>
        <w:t>However you use this digest, we hope you find it interesting and insightful and that it gives you time to reflect on your own practice.</w:t>
      </w:r>
    </w:p>
    <w:p w:rsidR="00853CDB" w:rsidRPr="00853CDB" w:rsidRDefault="00853CDB" w:rsidP="00853CDB">
      <w:pPr>
        <w:spacing w:after="0" w:line="360" w:lineRule="auto"/>
        <w:jc w:val="both"/>
        <w:rPr>
          <w:rFonts w:ascii="Palatino Linotype" w:eastAsia="Calibri" w:hAnsi="Palatino Linotype" w:cs="Times New Roman"/>
        </w:rPr>
      </w:pPr>
    </w:p>
    <w:p w:rsidR="00853CDB" w:rsidRPr="00853CDB" w:rsidRDefault="00853CDB" w:rsidP="00853CDB">
      <w:pPr>
        <w:spacing w:after="0" w:line="360" w:lineRule="auto"/>
        <w:jc w:val="both"/>
        <w:rPr>
          <w:rFonts w:ascii="Palatino Linotype" w:eastAsia="Calibri" w:hAnsi="Palatino Linotype" w:cs="Times New Roman"/>
        </w:rPr>
      </w:pPr>
      <w:r w:rsidRPr="00853CDB">
        <w:rPr>
          <w:rFonts w:ascii="Palatino Linotype" w:eastAsia="Calibri" w:hAnsi="Palatino Linotype" w:cs="Times New Roman"/>
        </w:rPr>
        <w:t xml:space="preserve">If you would like to be part of the group, please do visit us online at our websites </w:t>
      </w:r>
      <w:hyperlink r:id="rId8" w:history="1">
        <w:r w:rsidRPr="00853CDB">
          <w:rPr>
            <w:rFonts w:ascii="Palatino Linotype" w:eastAsia="Calibri" w:hAnsi="Palatino Linotype" w:cs="Times New Roman"/>
            <w:color w:val="0563C1"/>
            <w:u w:val="single"/>
          </w:rPr>
          <w:t>https://netsrg.wordpress.com/about/</w:t>
        </w:r>
      </w:hyperlink>
      <w:r w:rsidRPr="00853CDB">
        <w:rPr>
          <w:rFonts w:ascii="Palatino Linotype" w:eastAsia="Calibri" w:hAnsi="Palatino Linotype" w:cs="Times New Roman"/>
        </w:rPr>
        <w:t xml:space="preserve"> and </w:t>
      </w:r>
      <w:hyperlink r:id="rId9" w:history="1">
        <w:r w:rsidRPr="00853CDB">
          <w:rPr>
            <w:rFonts w:ascii="Palatino Linotype" w:eastAsia="Calibri" w:hAnsi="Palatino Linotype" w:cs="Times New Roman"/>
            <w:color w:val="0563C1"/>
            <w:u w:val="single"/>
          </w:rPr>
          <w:t>www.facebook.com/netsrg</w:t>
        </w:r>
      </w:hyperlink>
      <w:r w:rsidRPr="00853CDB">
        <w:rPr>
          <w:rFonts w:ascii="Palatino Linotype" w:eastAsia="Calibri" w:hAnsi="Palatino Linotype" w:cs="Times New Roman"/>
        </w:rPr>
        <w:t xml:space="preserve"> or follow us on Twitter @</w:t>
      </w:r>
      <w:proofErr w:type="spellStart"/>
      <w:r w:rsidRPr="00853CDB">
        <w:rPr>
          <w:rFonts w:ascii="Palatino Linotype" w:eastAsia="Calibri" w:hAnsi="Palatino Linotype" w:cs="Times New Roman"/>
        </w:rPr>
        <w:t>netsrg</w:t>
      </w:r>
      <w:proofErr w:type="spellEnd"/>
    </w:p>
    <w:p w:rsidR="00853CDB" w:rsidRPr="00853CDB" w:rsidRDefault="00853CDB" w:rsidP="00853CDB">
      <w:pPr>
        <w:spacing w:after="0" w:line="360" w:lineRule="auto"/>
        <w:jc w:val="both"/>
        <w:rPr>
          <w:rFonts w:ascii="Palatino Linotype" w:eastAsia="Calibri" w:hAnsi="Palatino Linotype" w:cs="Times New Roman"/>
        </w:rPr>
      </w:pPr>
    </w:p>
    <w:p w:rsidR="00FA614F" w:rsidRDefault="00853CDB" w:rsidP="00DB6034">
      <w:pPr>
        <w:spacing w:after="0" w:line="360" w:lineRule="auto"/>
      </w:pPr>
      <w:r w:rsidRPr="00853CDB">
        <w:rPr>
          <w:rFonts w:ascii="Palatino Linotype" w:eastAsia="Calibri" w:hAnsi="Palatino Linotype" w:cs="Times New Roman"/>
        </w:rPr>
        <w:t>Thank you.</w:t>
      </w:r>
    </w:p>
    <w:sectPr w:rsidR="00FA614F" w:rsidSect="00DB603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5ED" w:rsidRDefault="002015ED" w:rsidP="00853CDB">
      <w:pPr>
        <w:spacing w:after="0" w:line="240" w:lineRule="auto"/>
      </w:pPr>
      <w:r>
        <w:separator/>
      </w:r>
    </w:p>
  </w:endnote>
  <w:endnote w:type="continuationSeparator" w:id="0">
    <w:p w:rsidR="002015ED" w:rsidRDefault="002015ED" w:rsidP="0085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34" w:rsidRDefault="00DB6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806172"/>
      <w:docPartObj>
        <w:docPartGallery w:val="Page Numbers (Bottom of Page)"/>
        <w:docPartUnique/>
      </w:docPartObj>
    </w:sdtPr>
    <w:sdtEndPr>
      <w:rPr>
        <w:noProof/>
      </w:rPr>
    </w:sdtEndPr>
    <w:sdtContent>
      <w:p w:rsidR="00DB6034" w:rsidRDefault="00DB6034">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853CDB" w:rsidRDefault="00853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34" w:rsidRDefault="00DB6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5ED" w:rsidRDefault="002015ED" w:rsidP="00853CDB">
      <w:pPr>
        <w:spacing w:after="0" w:line="240" w:lineRule="auto"/>
      </w:pPr>
      <w:r>
        <w:separator/>
      </w:r>
    </w:p>
  </w:footnote>
  <w:footnote w:type="continuationSeparator" w:id="0">
    <w:p w:rsidR="002015ED" w:rsidRDefault="002015ED" w:rsidP="00853CDB">
      <w:pPr>
        <w:spacing w:after="0" w:line="240" w:lineRule="auto"/>
      </w:pPr>
      <w:r>
        <w:continuationSeparator/>
      </w:r>
    </w:p>
  </w:footnote>
  <w:footnote w:id="1">
    <w:p w:rsidR="00853CDB" w:rsidRPr="00F02CB3" w:rsidRDefault="00853CDB" w:rsidP="00853CDB">
      <w:pPr>
        <w:pStyle w:val="FootnoteText"/>
        <w:rPr>
          <w:rFonts w:ascii="Palatino Linotype" w:hAnsi="Palatino Linotype"/>
        </w:rPr>
      </w:pPr>
      <w:r w:rsidRPr="00F02CB3">
        <w:rPr>
          <w:rStyle w:val="FootnoteReference"/>
          <w:rFonts w:ascii="Palatino Linotype" w:hAnsi="Palatino Linotype"/>
        </w:rPr>
        <w:footnoteRef/>
      </w:r>
      <w:r w:rsidRPr="00F02CB3">
        <w:rPr>
          <w:rFonts w:ascii="Palatino Linotype" w:hAnsi="Palatino Linotype"/>
        </w:rPr>
        <w:t xml:space="preserve"> As Open Access becomes more prevalent, it may be possible to reproduce the articles within future digests.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34" w:rsidRDefault="00DB6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DB" w:rsidRPr="00853CDB" w:rsidRDefault="00853CDB">
    <w:pPr>
      <w:pStyle w:val="Header"/>
      <w:rPr>
        <w:i/>
      </w:rPr>
    </w:pPr>
    <w:bookmarkStart w:id="1" w:name="_GoBack"/>
    <w:bookmarkEnd w:id="1"/>
    <w:r w:rsidRPr="00853CDB">
      <w:rPr>
        <w:i/>
      </w:rPr>
      <w:ptab w:relativeTo="margin" w:alignment="right" w:leader="none"/>
    </w:r>
    <w:r w:rsidRPr="00853CDB">
      <w:rPr>
        <w:i/>
      </w:rPr>
      <w:t>North East Third Sector Review Group 2014 Digest Review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34" w:rsidRDefault="00DB6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C4775"/>
    <w:multiLevelType w:val="hybridMultilevel"/>
    <w:tmpl w:val="2D487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67E3C6B"/>
    <w:multiLevelType w:val="hybridMultilevel"/>
    <w:tmpl w:val="0B10B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DB"/>
    <w:rsid w:val="002015ED"/>
    <w:rsid w:val="00853CDB"/>
    <w:rsid w:val="00DB6034"/>
    <w:rsid w:val="00FA6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3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CDB"/>
  </w:style>
  <w:style w:type="paragraph" w:styleId="FootnoteText">
    <w:name w:val="footnote text"/>
    <w:basedOn w:val="Normal"/>
    <w:link w:val="FootnoteTextChar"/>
    <w:uiPriority w:val="99"/>
    <w:unhideWhenUsed/>
    <w:rsid w:val="00853CDB"/>
    <w:pPr>
      <w:spacing w:after="0" w:line="240" w:lineRule="auto"/>
    </w:pPr>
    <w:rPr>
      <w:sz w:val="20"/>
      <w:szCs w:val="20"/>
    </w:rPr>
  </w:style>
  <w:style w:type="character" w:customStyle="1" w:styleId="FootnoteTextChar">
    <w:name w:val="Footnote Text Char"/>
    <w:basedOn w:val="DefaultParagraphFont"/>
    <w:link w:val="FootnoteText"/>
    <w:uiPriority w:val="99"/>
    <w:rsid w:val="00853CDB"/>
    <w:rPr>
      <w:sz w:val="20"/>
      <w:szCs w:val="20"/>
    </w:rPr>
  </w:style>
  <w:style w:type="character" w:styleId="FootnoteReference">
    <w:name w:val="footnote reference"/>
    <w:basedOn w:val="DefaultParagraphFont"/>
    <w:uiPriority w:val="99"/>
    <w:unhideWhenUsed/>
    <w:rsid w:val="00853CDB"/>
    <w:rPr>
      <w:vertAlign w:val="superscript"/>
    </w:rPr>
  </w:style>
  <w:style w:type="paragraph" w:styleId="Header">
    <w:name w:val="header"/>
    <w:basedOn w:val="Normal"/>
    <w:link w:val="HeaderChar"/>
    <w:uiPriority w:val="99"/>
    <w:unhideWhenUsed/>
    <w:rsid w:val="00853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CDB"/>
  </w:style>
  <w:style w:type="paragraph" w:styleId="BalloonText">
    <w:name w:val="Balloon Text"/>
    <w:basedOn w:val="Normal"/>
    <w:link w:val="BalloonTextChar"/>
    <w:uiPriority w:val="99"/>
    <w:semiHidden/>
    <w:unhideWhenUsed/>
    <w:rsid w:val="00853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3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CDB"/>
  </w:style>
  <w:style w:type="paragraph" w:styleId="FootnoteText">
    <w:name w:val="footnote text"/>
    <w:basedOn w:val="Normal"/>
    <w:link w:val="FootnoteTextChar"/>
    <w:uiPriority w:val="99"/>
    <w:unhideWhenUsed/>
    <w:rsid w:val="00853CDB"/>
    <w:pPr>
      <w:spacing w:after="0" w:line="240" w:lineRule="auto"/>
    </w:pPr>
    <w:rPr>
      <w:sz w:val="20"/>
      <w:szCs w:val="20"/>
    </w:rPr>
  </w:style>
  <w:style w:type="character" w:customStyle="1" w:styleId="FootnoteTextChar">
    <w:name w:val="Footnote Text Char"/>
    <w:basedOn w:val="DefaultParagraphFont"/>
    <w:link w:val="FootnoteText"/>
    <w:uiPriority w:val="99"/>
    <w:rsid w:val="00853CDB"/>
    <w:rPr>
      <w:sz w:val="20"/>
      <w:szCs w:val="20"/>
    </w:rPr>
  </w:style>
  <w:style w:type="character" w:styleId="FootnoteReference">
    <w:name w:val="footnote reference"/>
    <w:basedOn w:val="DefaultParagraphFont"/>
    <w:uiPriority w:val="99"/>
    <w:unhideWhenUsed/>
    <w:rsid w:val="00853CDB"/>
    <w:rPr>
      <w:vertAlign w:val="superscript"/>
    </w:rPr>
  </w:style>
  <w:style w:type="paragraph" w:styleId="Header">
    <w:name w:val="header"/>
    <w:basedOn w:val="Normal"/>
    <w:link w:val="HeaderChar"/>
    <w:uiPriority w:val="99"/>
    <w:unhideWhenUsed/>
    <w:rsid w:val="00853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CDB"/>
  </w:style>
  <w:style w:type="paragraph" w:styleId="BalloonText">
    <w:name w:val="Balloon Text"/>
    <w:basedOn w:val="Normal"/>
    <w:link w:val="BalloonTextChar"/>
    <w:uiPriority w:val="99"/>
    <w:semiHidden/>
    <w:unhideWhenUsed/>
    <w:rsid w:val="00853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srg.wordpress.com/about/"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nets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1A"/>
    <w:rsid w:val="004F121A"/>
    <w:rsid w:val="009B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68462A76F249408ED8A124A572FFA0">
    <w:name w:val="0168462A76F249408ED8A124A572FFA0"/>
    <w:rsid w:val="004F121A"/>
  </w:style>
  <w:style w:type="paragraph" w:customStyle="1" w:styleId="FDF8477FA939470CADA10EA6D2161C8D">
    <w:name w:val="FDF8477FA939470CADA10EA6D2161C8D"/>
    <w:rsid w:val="004F12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68462A76F249408ED8A124A572FFA0">
    <w:name w:val="0168462A76F249408ED8A124A572FFA0"/>
    <w:rsid w:val="004F121A"/>
  </w:style>
  <w:style w:type="paragraph" w:customStyle="1" w:styleId="FDF8477FA939470CADA10EA6D2161C8D">
    <w:name w:val="FDF8477FA939470CADA10EA6D2161C8D"/>
    <w:rsid w:val="004F1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cp:revision>
  <dcterms:created xsi:type="dcterms:W3CDTF">2015-08-25T12:23:00Z</dcterms:created>
  <dcterms:modified xsi:type="dcterms:W3CDTF">2015-08-25T12:31:00Z</dcterms:modified>
</cp:coreProperties>
</file>