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22"/>
        </w:rPr>
      </w:pPr>
    </w:p>
    <w:p>
      <w:pPr>
        <w:spacing w:before="101"/>
        <w:ind w:left="253" w:right="363" w:firstLine="0"/>
        <w:jc w:val="center"/>
        <w:rPr>
          <w:b/>
          <w:sz w:val="24"/>
        </w:rPr>
      </w:pPr>
      <w:bookmarkStart w:name="05 Gledhill" w:id="1"/>
      <w:bookmarkEnd w:id="1"/>
      <w:r>
        <w:rPr/>
      </w:r>
      <w:r>
        <w:rPr>
          <w:b/>
          <w:sz w:val="24"/>
        </w:rPr>
        <w:t>REVIEW</w:t>
      </w:r>
      <w:r>
        <w:rPr>
          <w:b/>
          <w:sz w:val="22"/>
        </w:rPr>
        <w:t>: </w:t>
      </w:r>
      <w:r>
        <w:rPr>
          <w:b/>
          <w:sz w:val="24"/>
        </w:rPr>
        <w:t>MELBOURNE SOCIAL EQUITY INSTITUTE, UNFITNESS TO PLEAD AND INDEFINITE DETENTION OF PERSONS WITH COGNITIVE DISABILITIES; AND JUSTICE, MENTAL HEALTH AND FAIR TRIAL</w:t>
      </w:r>
    </w:p>
    <w:p>
      <w:pPr>
        <w:pStyle w:val="BodyText"/>
        <w:rPr>
          <w:b/>
        </w:rPr>
      </w:pPr>
    </w:p>
    <w:p>
      <w:pPr>
        <w:pStyle w:val="BodyText"/>
        <w:ind w:left="253" w:right="362"/>
        <w:jc w:val="center"/>
      </w:pPr>
      <w:r>
        <w:rPr/>
        <w:t>KRIS GLEDHILL*</w:t>
      </w:r>
    </w:p>
    <w:p>
      <w:pPr>
        <w:pStyle w:val="BodyText"/>
        <w:spacing w:before="11"/>
      </w:pPr>
    </w:p>
    <w:p>
      <w:pPr>
        <w:pStyle w:val="ListParagraph"/>
        <w:numPr>
          <w:ilvl w:val="0"/>
          <w:numId w:val="1"/>
        </w:numPr>
        <w:tabs>
          <w:tab w:pos="1168" w:val="left" w:leader="none"/>
        </w:tabs>
        <w:spacing w:line="230" w:lineRule="auto" w:before="0" w:after="0"/>
        <w:ind w:left="840" w:right="230" w:firstLine="0"/>
        <w:jc w:val="both"/>
        <w:rPr>
          <w:sz w:val="24"/>
        </w:rPr>
      </w:pPr>
      <w:r>
        <w:rPr>
          <w:sz w:val="24"/>
        </w:rPr>
        <w:t>McSherry B, Baldry E, Arstein-Kerslake A, Gooding P, McCausland R and Arabena</w:t>
      </w:r>
      <w:r>
        <w:rPr>
          <w:spacing w:val="-40"/>
          <w:sz w:val="24"/>
        </w:rPr>
        <w:t> </w:t>
      </w:r>
      <w:r>
        <w:rPr>
          <w:sz w:val="24"/>
        </w:rPr>
        <w:t>K,</w:t>
      </w:r>
      <w:r>
        <w:rPr>
          <w:spacing w:val="-40"/>
          <w:sz w:val="24"/>
        </w:rPr>
        <w:t> </w:t>
      </w:r>
      <w:r>
        <w:rPr>
          <w:i/>
          <w:sz w:val="25"/>
        </w:rPr>
        <w:t>Unfitness</w:t>
      </w:r>
      <w:r>
        <w:rPr>
          <w:i/>
          <w:spacing w:val="-43"/>
          <w:sz w:val="25"/>
        </w:rPr>
        <w:t> </w:t>
      </w:r>
      <w:r>
        <w:rPr>
          <w:i/>
          <w:sz w:val="25"/>
        </w:rPr>
        <w:t>to</w:t>
      </w:r>
      <w:r>
        <w:rPr>
          <w:i/>
          <w:spacing w:val="-43"/>
          <w:sz w:val="25"/>
        </w:rPr>
        <w:t> </w:t>
      </w:r>
      <w:r>
        <w:rPr>
          <w:i/>
          <w:sz w:val="25"/>
        </w:rPr>
        <w:t>Plead</w:t>
      </w:r>
      <w:r>
        <w:rPr>
          <w:i/>
          <w:spacing w:val="-43"/>
          <w:sz w:val="25"/>
        </w:rPr>
        <w:t> </w:t>
      </w:r>
      <w:r>
        <w:rPr>
          <w:i/>
          <w:sz w:val="25"/>
        </w:rPr>
        <w:t>and</w:t>
      </w:r>
      <w:r>
        <w:rPr>
          <w:i/>
          <w:spacing w:val="-44"/>
          <w:sz w:val="25"/>
        </w:rPr>
        <w:t> </w:t>
      </w:r>
      <w:r>
        <w:rPr>
          <w:i/>
          <w:sz w:val="25"/>
        </w:rPr>
        <w:t>Indefinite</w:t>
      </w:r>
      <w:r>
        <w:rPr>
          <w:i/>
          <w:spacing w:val="-44"/>
          <w:sz w:val="25"/>
        </w:rPr>
        <w:t> </w:t>
      </w:r>
      <w:r>
        <w:rPr>
          <w:i/>
          <w:sz w:val="25"/>
        </w:rPr>
        <w:t>Detention</w:t>
      </w:r>
      <w:r>
        <w:rPr>
          <w:i/>
          <w:spacing w:val="-43"/>
          <w:sz w:val="25"/>
        </w:rPr>
        <w:t> </w:t>
      </w:r>
      <w:r>
        <w:rPr>
          <w:i/>
          <w:sz w:val="25"/>
        </w:rPr>
        <w:t>of</w:t>
      </w:r>
      <w:r>
        <w:rPr>
          <w:i/>
          <w:spacing w:val="-43"/>
          <w:sz w:val="25"/>
        </w:rPr>
        <w:t> </w:t>
      </w:r>
      <w:r>
        <w:rPr>
          <w:i/>
          <w:sz w:val="25"/>
        </w:rPr>
        <w:t>Persons</w:t>
      </w:r>
      <w:r>
        <w:rPr>
          <w:i/>
          <w:spacing w:val="-43"/>
          <w:sz w:val="25"/>
        </w:rPr>
        <w:t> </w:t>
      </w:r>
      <w:r>
        <w:rPr>
          <w:i/>
          <w:sz w:val="25"/>
        </w:rPr>
        <w:t>with</w:t>
      </w:r>
      <w:r>
        <w:rPr>
          <w:i/>
          <w:spacing w:val="-43"/>
          <w:sz w:val="25"/>
        </w:rPr>
        <w:t> </w:t>
      </w:r>
      <w:r>
        <w:rPr>
          <w:i/>
          <w:sz w:val="25"/>
        </w:rPr>
        <w:t>Cognitive Disabilities</w:t>
      </w:r>
      <w:r>
        <w:rPr>
          <w:sz w:val="24"/>
        </w:rPr>
        <w:t>,</w:t>
      </w:r>
      <w:r>
        <w:rPr>
          <w:spacing w:val="-14"/>
          <w:sz w:val="24"/>
        </w:rPr>
        <w:t> </w:t>
      </w:r>
      <w:r>
        <w:rPr>
          <w:sz w:val="24"/>
        </w:rPr>
        <w:t>Melbourne:</w:t>
      </w:r>
      <w:r>
        <w:rPr>
          <w:spacing w:val="-13"/>
          <w:sz w:val="24"/>
        </w:rPr>
        <w:t> </w:t>
      </w:r>
      <w:r>
        <w:rPr>
          <w:sz w:val="24"/>
        </w:rPr>
        <w:t>Melbourne</w:t>
      </w:r>
      <w:r>
        <w:rPr>
          <w:spacing w:val="-13"/>
          <w:sz w:val="24"/>
        </w:rPr>
        <w:t> </w:t>
      </w:r>
      <w:r>
        <w:rPr>
          <w:sz w:val="24"/>
        </w:rPr>
        <w:t>Social</w:t>
      </w:r>
      <w:r>
        <w:rPr>
          <w:spacing w:val="-13"/>
          <w:sz w:val="24"/>
        </w:rPr>
        <w:t> </w:t>
      </w:r>
      <w:r>
        <w:rPr>
          <w:sz w:val="24"/>
        </w:rPr>
        <w:t>Equity</w:t>
      </w:r>
      <w:r>
        <w:rPr>
          <w:spacing w:val="-14"/>
          <w:sz w:val="24"/>
        </w:rPr>
        <w:t> </w:t>
      </w:r>
      <w:r>
        <w:rPr>
          <w:sz w:val="24"/>
        </w:rPr>
        <w:t>Institute,</w:t>
      </w:r>
      <w:r>
        <w:rPr>
          <w:spacing w:val="-12"/>
          <w:sz w:val="24"/>
        </w:rPr>
        <w:t> </w:t>
      </w:r>
      <w:r>
        <w:rPr>
          <w:sz w:val="24"/>
        </w:rPr>
        <w:t>2017;</w:t>
      </w:r>
    </w:p>
    <w:p>
      <w:pPr>
        <w:pStyle w:val="BodyText"/>
        <w:spacing w:before="11"/>
        <w:rPr>
          <w:sz w:val="22"/>
        </w:rPr>
      </w:pPr>
    </w:p>
    <w:p>
      <w:pPr>
        <w:pStyle w:val="ListParagraph"/>
        <w:numPr>
          <w:ilvl w:val="0"/>
          <w:numId w:val="1"/>
        </w:numPr>
        <w:tabs>
          <w:tab w:pos="1120" w:val="left" w:leader="none"/>
        </w:tabs>
        <w:spacing w:line="240" w:lineRule="auto" w:before="1" w:after="0"/>
        <w:ind w:left="1120" w:right="0" w:hanging="280"/>
        <w:jc w:val="both"/>
        <w:rPr>
          <w:sz w:val="24"/>
        </w:rPr>
      </w:pPr>
      <w:r>
        <w:rPr>
          <w:sz w:val="24"/>
        </w:rPr>
        <w:t>Justice,</w:t>
      </w:r>
      <w:r>
        <w:rPr>
          <w:spacing w:val="-19"/>
          <w:sz w:val="24"/>
        </w:rPr>
        <w:t> </w:t>
      </w:r>
      <w:r>
        <w:rPr>
          <w:i/>
          <w:sz w:val="25"/>
        </w:rPr>
        <w:t>Mental</w:t>
      </w:r>
      <w:r>
        <w:rPr>
          <w:i/>
          <w:spacing w:val="-20"/>
          <w:sz w:val="25"/>
        </w:rPr>
        <w:t> </w:t>
      </w:r>
      <w:r>
        <w:rPr>
          <w:i/>
          <w:sz w:val="25"/>
        </w:rPr>
        <w:t>Health</w:t>
      </w:r>
      <w:r>
        <w:rPr>
          <w:i/>
          <w:spacing w:val="-20"/>
          <w:sz w:val="25"/>
        </w:rPr>
        <w:t> </w:t>
      </w:r>
      <w:r>
        <w:rPr>
          <w:i/>
          <w:sz w:val="25"/>
        </w:rPr>
        <w:t>and</w:t>
      </w:r>
      <w:r>
        <w:rPr>
          <w:i/>
          <w:spacing w:val="-21"/>
          <w:sz w:val="25"/>
        </w:rPr>
        <w:t> </w:t>
      </w:r>
      <w:r>
        <w:rPr>
          <w:i/>
          <w:sz w:val="25"/>
        </w:rPr>
        <w:t>Fair</w:t>
      </w:r>
      <w:r>
        <w:rPr>
          <w:i/>
          <w:spacing w:val="-21"/>
          <w:sz w:val="25"/>
        </w:rPr>
        <w:t> </w:t>
      </w:r>
      <w:r>
        <w:rPr>
          <w:i/>
          <w:sz w:val="25"/>
        </w:rPr>
        <w:t>Trial</w:t>
      </w:r>
      <w:r>
        <w:rPr>
          <w:sz w:val="24"/>
        </w:rPr>
        <w:t>,</w:t>
      </w:r>
      <w:r>
        <w:rPr>
          <w:spacing w:val="-18"/>
          <w:sz w:val="24"/>
        </w:rPr>
        <w:t> </w:t>
      </w:r>
      <w:r>
        <w:rPr>
          <w:sz w:val="24"/>
        </w:rPr>
        <w:t>London:</w:t>
      </w:r>
      <w:r>
        <w:rPr>
          <w:spacing w:val="-18"/>
          <w:sz w:val="24"/>
        </w:rPr>
        <w:t> </w:t>
      </w:r>
      <w:r>
        <w:rPr>
          <w:sz w:val="24"/>
        </w:rPr>
        <w:t>Justice,</w:t>
      </w:r>
      <w:r>
        <w:rPr>
          <w:spacing w:val="-18"/>
          <w:sz w:val="24"/>
        </w:rPr>
        <w:t> </w:t>
      </w:r>
      <w:r>
        <w:rPr>
          <w:sz w:val="24"/>
        </w:rPr>
        <w:t>2017.</w:t>
      </w:r>
    </w:p>
    <w:p>
      <w:pPr>
        <w:pStyle w:val="BodyText"/>
        <w:spacing w:before="1"/>
      </w:pPr>
    </w:p>
    <w:p>
      <w:pPr>
        <w:pStyle w:val="BodyText"/>
        <w:spacing w:line="237" w:lineRule="auto"/>
        <w:ind w:left="120" w:right="229"/>
        <w:jc w:val="both"/>
      </w:pPr>
      <w:r>
        <w:rPr/>
        <w:t>Towards</w:t>
      </w:r>
      <w:r>
        <w:rPr>
          <w:spacing w:val="-7"/>
        </w:rPr>
        <w:t> </w:t>
      </w:r>
      <w:r>
        <w:rPr/>
        <w:t>the</w:t>
      </w:r>
      <w:r>
        <w:rPr>
          <w:spacing w:val="-7"/>
        </w:rPr>
        <w:t> </w:t>
      </w:r>
      <w:r>
        <w:rPr/>
        <w:t>end</w:t>
      </w:r>
      <w:r>
        <w:rPr>
          <w:spacing w:val="-6"/>
        </w:rPr>
        <w:t> </w:t>
      </w:r>
      <w:r>
        <w:rPr/>
        <w:t>of</w:t>
      </w:r>
      <w:r>
        <w:rPr>
          <w:spacing w:val="-6"/>
        </w:rPr>
        <w:t> </w:t>
      </w:r>
      <w:r>
        <w:rPr/>
        <w:t>2017,</w:t>
      </w:r>
      <w:r>
        <w:rPr>
          <w:spacing w:val="-6"/>
        </w:rPr>
        <w:t> </w:t>
      </w:r>
      <w:r>
        <w:rPr/>
        <w:t>the</w:t>
      </w:r>
      <w:r>
        <w:rPr>
          <w:spacing w:val="-7"/>
        </w:rPr>
        <w:t> </w:t>
      </w:r>
      <w:r>
        <w:rPr/>
        <w:t>long-established</w:t>
      </w:r>
      <w:r>
        <w:rPr>
          <w:spacing w:val="-6"/>
        </w:rPr>
        <w:t> </w:t>
      </w:r>
      <w:r>
        <w:rPr/>
        <w:t>legal</w:t>
      </w:r>
      <w:r>
        <w:rPr>
          <w:spacing w:val="-7"/>
        </w:rPr>
        <w:t> </w:t>
      </w:r>
      <w:r>
        <w:rPr/>
        <w:t>reform</w:t>
      </w:r>
      <w:r>
        <w:rPr>
          <w:spacing w:val="-6"/>
        </w:rPr>
        <w:t> </w:t>
      </w:r>
      <w:r>
        <w:rPr/>
        <w:t>NGO,</w:t>
      </w:r>
      <w:r>
        <w:rPr>
          <w:spacing w:val="-6"/>
        </w:rPr>
        <w:t> </w:t>
      </w:r>
      <w:r>
        <w:rPr/>
        <w:t>Justice,</w:t>
      </w:r>
      <w:r>
        <w:rPr>
          <w:spacing w:val="-6"/>
        </w:rPr>
        <w:t> </w:t>
      </w:r>
      <w:r>
        <w:rPr/>
        <w:t>produced</w:t>
      </w:r>
      <w:r>
        <w:rPr>
          <w:spacing w:val="-6"/>
        </w:rPr>
        <w:t> </w:t>
      </w:r>
      <w:r>
        <w:rPr/>
        <w:t>its report,</w:t>
      </w:r>
      <w:r>
        <w:rPr>
          <w:spacing w:val="-9"/>
        </w:rPr>
        <w:t> </w:t>
      </w:r>
      <w:r>
        <w:rPr>
          <w:i/>
          <w:sz w:val="25"/>
        </w:rPr>
        <w:t>Mental</w:t>
      </w:r>
      <w:r>
        <w:rPr>
          <w:i/>
          <w:spacing w:val="-13"/>
          <w:sz w:val="25"/>
        </w:rPr>
        <w:t> </w:t>
      </w:r>
      <w:r>
        <w:rPr>
          <w:i/>
          <w:sz w:val="25"/>
        </w:rPr>
        <w:t>Health</w:t>
      </w:r>
      <w:r>
        <w:rPr>
          <w:i/>
          <w:spacing w:val="-14"/>
          <w:sz w:val="25"/>
        </w:rPr>
        <w:t> </w:t>
      </w:r>
      <w:r>
        <w:rPr>
          <w:i/>
          <w:sz w:val="25"/>
        </w:rPr>
        <w:t>and</w:t>
      </w:r>
      <w:r>
        <w:rPr>
          <w:i/>
          <w:spacing w:val="-13"/>
          <w:sz w:val="25"/>
        </w:rPr>
        <w:t> </w:t>
      </w:r>
      <w:r>
        <w:rPr>
          <w:i/>
          <w:sz w:val="25"/>
        </w:rPr>
        <w:t>Fair</w:t>
      </w:r>
      <w:r>
        <w:rPr>
          <w:i/>
          <w:spacing w:val="-14"/>
          <w:sz w:val="25"/>
        </w:rPr>
        <w:t> </w:t>
      </w:r>
      <w:r>
        <w:rPr>
          <w:i/>
          <w:sz w:val="25"/>
        </w:rPr>
        <w:t>Trial</w:t>
      </w:r>
      <w:r>
        <w:rPr/>
        <w:t>.</w:t>
      </w:r>
      <w:r>
        <w:rPr>
          <w:spacing w:val="-9"/>
        </w:rPr>
        <w:t> </w:t>
      </w:r>
      <w:r>
        <w:rPr/>
        <w:t>The</w:t>
      </w:r>
      <w:r>
        <w:rPr>
          <w:spacing w:val="-10"/>
        </w:rPr>
        <w:t> </w:t>
      </w:r>
      <w:r>
        <w:rPr/>
        <w:t>output</w:t>
      </w:r>
      <w:r>
        <w:rPr>
          <w:spacing w:val="-11"/>
        </w:rPr>
        <w:t> </w:t>
      </w:r>
      <w:r>
        <w:rPr/>
        <w:t>of</w:t>
      </w:r>
      <w:r>
        <w:rPr>
          <w:spacing w:val="-9"/>
        </w:rPr>
        <w:t> </w:t>
      </w:r>
      <w:r>
        <w:rPr/>
        <w:t>a</w:t>
      </w:r>
      <w:r>
        <w:rPr>
          <w:spacing w:val="-11"/>
        </w:rPr>
        <w:t> </w:t>
      </w:r>
      <w:r>
        <w:rPr/>
        <w:t>Working</w:t>
      </w:r>
      <w:r>
        <w:rPr>
          <w:spacing w:val="-9"/>
        </w:rPr>
        <w:t> </w:t>
      </w:r>
      <w:r>
        <w:rPr/>
        <w:t>Group</w:t>
      </w:r>
      <w:r>
        <w:rPr>
          <w:spacing w:val="-9"/>
        </w:rPr>
        <w:t> </w:t>
      </w:r>
      <w:r>
        <w:rPr/>
        <w:t>chaired</w:t>
      </w:r>
      <w:r>
        <w:rPr>
          <w:spacing w:val="-11"/>
        </w:rPr>
        <w:t> </w:t>
      </w:r>
      <w:r>
        <w:rPr/>
        <w:t>by</w:t>
      </w:r>
      <w:r>
        <w:rPr>
          <w:spacing w:val="-9"/>
        </w:rPr>
        <w:t> </w:t>
      </w:r>
      <w:r>
        <w:rPr/>
        <w:t>retired appellate judge, Sir David Latham, it contains 52 recommendations for changes in the criminal justice process in England and Wales. These refer to all stages, from the investigation of crime through to the process of sentencing. At around the same time, researchers linked to the Melbourne Social Equity Institute at the University of Melbourne</w:t>
      </w:r>
      <w:r>
        <w:rPr>
          <w:spacing w:val="-10"/>
        </w:rPr>
        <w:t> </w:t>
      </w:r>
      <w:r>
        <w:rPr/>
        <w:t>have</w:t>
      </w:r>
      <w:r>
        <w:rPr>
          <w:spacing w:val="-9"/>
        </w:rPr>
        <w:t> </w:t>
      </w:r>
      <w:r>
        <w:rPr/>
        <w:t>published</w:t>
      </w:r>
      <w:r>
        <w:rPr>
          <w:spacing w:val="-8"/>
        </w:rPr>
        <w:t> </w:t>
      </w:r>
      <w:r>
        <w:rPr/>
        <w:t>their</w:t>
      </w:r>
      <w:r>
        <w:rPr>
          <w:spacing w:val="-9"/>
        </w:rPr>
        <w:t> </w:t>
      </w:r>
      <w:r>
        <w:rPr/>
        <w:t>report</w:t>
      </w:r>
      <w:r>
        <w:rPr>
          <w:spacing w:val="-8"/>
        </w:rPr>
        <w:t> </w:t>
      </w:r>
      <w:r>
        <w:rPr/>
        <w:t>on</w:t>
      </w:r>
      <w:r>
        <w:rPr>
          <w:spacing w:val="-8"/>
        </w:rPr>
        <w:t> </w:t>
      </w:r>
      <w:r>
        <w:rPr>
          <w:i/>
          <w:sz w:val="25"/>
        </w:rPr>
        <w:t>Unfitness</w:t>
      </w:r>
      <w:r>
        <w:rPr>
          <w:i/>
          <w:spacing w:val="-12"/>
          <w:sz w:val="25"/>
        </w:rPr>
        <w:t> </w:t>
      </w:r>
      <w:r>
        <w:rPr>
          <w:i/>
          <w:sz w:val="25"/>
        </w:rPr>
        <w:t>to</w:t>
      </w:r>
      <w:r>
        <w:rPr>
          <w:i/>
          <w:spacing w:val="-12"/>
          <w:sz w:val="25"/>
        </w:rPr>
        <w:t> </w:t>
      </w:r>
      <w:r>
        <w:rPr>
          <w:i/>
          <w:sz w:val="25"/>
        </w:rPr>
        <w:t>Plead</w:t>
      </w:r>
      <w:r>
        <w:rPr>
          <w:i/>
          <w:spacing w:val="-11"/>
          <w:sz w:val="25"/>
        </w:rPr>
        <w:t> </w:t>
      </w:r>
      <w:r>
        <w:rPr>
          <w:i/>
          <w:sz w:val="25"/>
        </w:rPr>
        <w:t>and</w:t>
      </w:r>
      <w:r>
        <w:rPr>
          <w:i/>
          <w:spacing w:val="-12"/>
          <w:sz w:val="25"/>
        </w:rPr>
        <w:t> </w:t>
      </w:r>
      <w:r>
        <w:rPr>
          <w:i/>
          <w:sz w:val="25"/>
        </w:rPr>
        <w:t>Indefinite</w:t>
      </w:r>
      <w:r>
        <w:rPr>
          <w:i/>
          <w:spacing w:val="-12"/>
          <w:sz w:val="25"/>
        </w:rPr>
        <w:t> </w:t>
      </w:r>
      <w:r>
        <w:rPr>
          <w:i/>
          <w:sz w:val="25"/>
        </w:rPr>
        <w:t>Detention of</w:t>
      </w:r>
      <w:r>
        <w:rPr>
          <w:i/>
          <w:spacing w:val="-25"/>
          <w:sz w:val="25"/>
        </w:rPr>
        <w:t> </w:t>
      </w:r>
      <w:r>
        <w:rPr>
          <w:i/>
          <w:sz w:val="25"/>
        </w:rPr>
        <w:t>Persons</w:t>
      </w:r>
      <w:r>
        <w:rPr>
          <w:i/>
          <w:spacing w:val="-27"/>
          <w:sz w:val="25"/>
        </w:rPr>
        <w:t> </w:t>
      </w:r>
      <w:r>
        <w:rPr>
          <w:i/>
          <w:sz w:val="25"/>
        </w:rPr>
        <w:t>with</w:t>
      </w:r>
      <w:r>
        <w:rPr>
          <w:i/>
          <w:spacing w:val="-25"/>
          <w:sz w:val="25"/>
        </w:rPr>
        <w:t> </w:t>
      </w:r>
      <w:r>
        <w:rPr>
          <w:i/>
          <w:sz w:val="25"/>
        </w:rPr>
        <w:t>Cognitive</w:t>
      </w:r>
      <w:r>
        <w:rPr>
          <w:i/>
          <w:spacing w:val="-26"/>
          <w:sz w:val="25"/>
        </w:rPr>
        <w:t> </w:t>
      </w:r>
      <w:r>
        <w:rPr>
          <w:i/>
          <w:sz w:val="25"/>
        </w:rPr>
        <w:t>Disabilities</w:t>
      </w:r>
      <w:r>
        <w:rPr/>
        <w:t>.</w:t>
      </w:r>
      <w:r>
        <w:rPr>
          <w:spacing w:val="-22"/>
        </w:rPr>
        <w:t> </w:t>
      </w:r>
      <w:r>
        <w:rPr/>
        <w:t>The</w:t>
      </w:r>
      <w:r>
        <w:rPr>
          <w:spacing w:val="-23"/>
        </w:rPr>
        <w:t> </w:t>
      </w:r>
      <w:r>
        <w:rPr/>
        <w:t>main</w:t>
      </w:r>
      <w:r>
        <w:rPr>
          <w:spacing w:val="-23"/>
        </w:rPr>
        <w:t> </w:t>
      </w:r>
      <w:r>
        <w:rPr/>
        <w:t>focus</w:t>
      </w:r>
      <w:r>
        <w:rPr>
          <w:spacing w:val="-23"/>
        </w:rPr>
        <w:t> </w:t>
      </w:r>
      <w:r>
        <w:rPr/>
        <w:t>of</w:t>
      </w:r>
      <w:r>
        <w:rPr>
          <w:spacing w:val="-23"/>
        </w:rPr>
        <w:t> </w:t>
      </w:r>
      <w:r>
        <w:rPr/>
        <w:t>this</w:t>
      </w:r>
      <w:r>
        <w:rPr>
          <w:spacing w:val="-23"/>
        </w:rPr>
        <w:t> </w:t>
      </w:r>
      <w:r>
        <w:rPr/>
        <w:t>report</w:t>
      </w:r>
      <w:r>
        <w:rPr>
          <w:spacing w:val="-23"/>
        </w:rPr>
        <w:t> </w:t>
      </w:r>
      <w:r>
        <w:rPr/>
        <w:t>is</w:t>
      </w:r>
      <w:r>
        <w:rPr>
          <w:spacing w:val="-23"/>
        </w:rPr>
        <w:t> </w:t>
      </w:r>
      <w:r>
        <w:rPr/>
        <w:t>the</w:t>
      </w:r>
      <w:r>
        <w:rPr>
          <w:spacing w:val="-23"/>
        </w:rPr>
        <w:t> </w:t>
      </w:r>
      <w:r>
        <w:rPr/>
        <w:t>barriers</w:t>
      </w:r>
      <w:r>
        <w:rPr>
          <w:spacing w:val="-23"/>
        </w:rPr>
        <w:t> </w:t>
      </w:r>
      <w:r>
        <w:rPr/>
        <w:t>faced by people experiencing cognitive disabilities and how appropriate supports are</w:t>
      </w:r>
      <w:r>
        <w:rPr>
          <w:spacing w:val="-47"/>
        </w:rPr>
        <w:t> </w:t>
      </w:r>
      <w:r>
        <w:rPr/>
        <w:t>needed to allow access to justice on equal</w:t>
      </w:r>
      <w:r>
        <w:rPr>
          <w:spacing w:val="-16"/>
        </w:rPr>
        <w:t> </w:t>
      </w:r>
      <w:r>
        <w:rPr/>
        <w:t>terms.</w:t>
      </w:r>
    </w:p>
    <w:p>
      <w:pPr>
        <w:pStyle w:val="BodyText"/>
      </w:pPr>
    </w:p>
    <w:p>
      <w:pPr>
        <w:pStyle w:val="BodyText"/>
        <w:ind w:left="120" w:right="230"/>
        <w:jc w:val="both"/>
      </w:pPr>
      <w:r>
        <w:rPr/>
        <w:t>Two articles of the Convention on the Rights of Persons with Disabilities 2006</w:t>
      </w:r>
      <w:hyperlink w:history="true" w:anchor="_bookmark0">
        <w:r>
          <w:rPr>
            <w:position w:val="8"/>
            <w:sz w:val="16"/>
          </w:rPr>
          <w:t>1 </w:t>
        </w:r>
      </w:hyperlink>
      <w:r>
        <w:rPr/>
        <w:t>are of obvious</w:t>
      </w:r>
      <w:r>
        <w:rPr>
          <w:spacing w:val="-7"/>
        </w:rPr>
        <w:t> </w:t>
      </w:r>
      <w:r>
        <w:rPr/>
        <w:t>relevance</w:t>
      </w:r>
      <w:r>
        <w:rPr>
          <w:spacing w:val="-6"/>
        </w:rPr>
        <w:t> </w:t>
      </w:r>
      <w:r>
        <w:rPr/>
        <w:t>in</w:t>
      </w:r>
      <w:r>
        <w:rPr>
          <w:spacing w:val="-6"/>
        </w:rPr>
        <w:t> </w:t>
      </w:r>
      <w:r>
        <w:rPr/>
        <w:t>this</w:t>
      </w:r>
      <w:r>
        <w:rPr>
          <w:spacing w:val="-6"/>
        </w:rPr>
        <w:t> </w:t>
      </w:r>
      <w:r>
        <w:rPr/>
        <w:t>context.</w:t>
      </w:r>
      <w:r>
        <w:rPr>
          <w:spacing w:val="-6"/>
        </w:rPr>
        <w:t> </w:t>
      </w:r>
      <w:r>
        <w:rPr/>
        <w:t>First,</w:t>
      </w:r>
      <w:r>
        <w:rPr>
          <w:spacing w:val="-5"/>
        </w:rPr>
        <w:t> </w:t>
      </w:r>
      <w:r>
        <w:rPr/>
        <w:t>article</w:t>
      </w:r>
      <w:r>
        <w:rPr>
          <w:spacing w:val="-6"/>
        </w:rPr>
        <w:t> </w:t>
      </w:r>
      <w:r>
        <w:rPr/>
        <w:t>13</w:t>
      </w:r>
      <w:r>
        <w:rPr>
          <w:spacing w:val="-6"/>
        </w:rPr>
        <w:t> </w:t>
      </w:r>
      <w:r>
        <w:rPr/>
        <w:t>requires</w:t>
      </w:r>
      <w:r>
        <w:rPr>
          <w:spacing w:val="-6"/>
        </w:rPr>
        <w:t> </w:t>
      </w:r>
      <w:r>
        <w:rPr/>
        <w:t>equal</w:t>
      </w:r>
      <w:r>
        <w:rPr>
          <w:spacing w:val="-5"/>
        </w:rPr>
        <w:t> </w:t>
      </w:r>
      <w:r>
        <w:rPr/>
        <w:t>access</w:t>
      </w:r>
      <w:r>
        <w:rPr>
          <w:spacing w:val="-6"/>
        </w:rPr>
        <w:t> </w:t>
      </w:r>
      <w:r>
        <w:rPr/>
        <w:t>to</w:t>
      </w:r>
      <w:r>
        <w:rPr>
          <w:spacing w:val="-5"/>
        </w:rPr>
        <w:t> </w:t>
      </w:r>
      <w:r>
        <w:rPr/>
        <w:t>justice,</w:t>
      </w:r>
      <w:r>
        <w:rPr>
          <w:spacing w:val="-5"/>
        </w:rPr>
        <w:t> </w:t>
      </w:r>
      <w:r>
        <w:rPr/>
        <w:t>with such</w:t>
      </w:r>
      <w:r>
        <w:rPr>
          <w:spacing w:val="-18"/>
        </w:rPr>
        <w:t> </w:t>
      </w:r>
      <w:r>
        <w:rPr/>
        <w:t>“procedural</w:t>
      </w:r>
      <w:r>
        <w:rPr>
          <w:spacing w:val="-18"/>
        </w:rPr>
        <w:t> </w:t>
      </w:r>
      <w:r>
        <w:rPr/>
        <w:t>and</w:t>
      </w:r>
      <w:r>
        <w:rPr>
          <w:spacing w:val="-19"/>
        </w:rPr>
        <w:t> </w:t>
      </w:r>
      <w:r>
        <w:rPr/>
        <w:t>age-appropriate</w:t>
      </w:r>
      <w:r>
        <w:rPr>
          <w:spacing w:val="-19"/>
        </w:rPr>
        <w:t> </w:t>
      </w:r>
      <w:r>
        <w:rPr/>
        <w:t>accommodations”</w:t>
      </w:r>
      <w:r>
        <w:rPr>
          <w:spacing w:val="-20"/>
        </w:rPr>
        <w:t> </w:t>
      </w:r>
      <w:r>
        <w:rPr/>
        <w:t>as</w:t>
      </w:r>
      <w:r>
        <w:rPr>
          <w:spacing w:val="-19"/>
        </w:rPr>
        <w:t> </w:t>
      </w:r>
      <w:r>
        <w:rPr/>
        <w:t>may</w:t>
      </w:r>
      <w:r>
        <w:rPr>
          <w:spacing w:val="-18"/>
        </w:rPr>
        <w:t> </w:t>
      </w:r>
      <w:r>
        <w:rPr/>
        <w:t>be</w:t>
      </w:r>
      <w:r>
        <w:rPr>
          <w:spacing w:val="-20"/>
        </w:rPr>
        <w:t> </w:t>
      </w:r>
      <w:r>
        <w:rPr/>
        <w:t>necessary</w:t>
      </w:r>
      <w:r>
        <w:rPr>
          <w:spacing w:val="-18"/>
        </w:rPr>
        <w:t> </w:t>
      </w:r>
      <w:r>
        <w:rPr/>
        <w:t>to</w:t>
      </w:r>
      <w:r>
        <w:rPr>
          <w:spacing w:val="-18"/>
        </w:rPr>
        <w:t> </w:t>
      </w:r>
      <w:r>
        <w:rPr/>
        <w:t>secure this. Secondly, article 14 provides the right to equal protection against arbitrary detention,</w:t>
      </w:r>
      <w:r>
        <w:rPr>
          <w:spacing w:val="-7"/>
        </w:rPr>
        <w:t> </w:t>
      </w:r>
      <w:r>
        <w:rPr/>
        <w:t>and</w:t>
      </w:r>
      <w:r>
        <w:rPr>
          <w:spacing w:val="-6"/>
        </w:rPr>
        <w:t> </w:t>
      </w:r>
      <w:r>
        <w:rPr/>
        <w:t>a</w:t>
      </w:r>
      <w:r>
        <w:rPr>
          <w:spacing w:val="-7"/>
        </w:rPr>
        <w:t> </w:t>
      </w:r>
      <w:r>
        <w:rPr/>
        <w:t>component</w:t>
      </w:r>
      <w:r>
        <w:rPr>
          <w:spacing w:val="-6"/>
        </w:rPr>
        <w:t> </w:t>
      </w:r>
      <w:r>
        <w:rPr/>
        <w:t>of</w:t>
      </w:r>
      <w:r>
        <w:rPr>
          <w:spacing w:val="-6"/>
        </w:rPr>
        <w:t> </w:t>
      </w:r>
      <w:r>
        <w:rPr/>
        <w:t>this</w:t>
      </w:r>
      <w:r>
        <w:rPr>
          <w:spacing w:val="-7"/>
        </w:rPr>
        <w:t> </w:t>
      </w:r>
      <w:r>
        <w:rPr/>
        <w:t>is</w:t>
      </w:r>
      <w:r>
        <w:rPr>
          <w:spacing w:val="-7"/>
        </w:rPr>
        <w:t> </w:t>
      </w:r>
      <w:r>
        <w:rPr/>
        <w:t>that</w:t>
      </w:r>
      <w:r>
        <w:rPr>
          <w:spacing w:val="-8"/>
        </w:rPr>
        <w:t> </w:t>
      </w:r>
      <w:r>
        <w:rPr/>
        <w:t>“the</w:t>
      </w:r>
      <w:r>
        <w:rPr>
          <w:spacing w:val="-7"/>
        </w:rPr>
        <w:t> </w:t>
      </w:r>
      <w:r>
        <w:rPr/>
        <w:t>existence</w:t>
      </w:r>
      <w:r>
        <w:rPr>
          <w:spacing w:val="-7"/>
        </w:rPr>
        <w:t> </w:t>
      </w:r>
      <w:r>
        <w:rPr/>
        <w:t>of</w:t>
      </w:r>
      <w:r>
        <w:rPr>
          <w:spacing w:val="-6"/>
        </w:rPr>
        <w:t> </w:t>
      </w:r>
      <w:r>
        <w:rPr/>
        <w:t>a</w:t>
      </w:r>
      <w:r>
        <w:rPr>
          <w:spacing w:val="-7"/>
        </w:rPr>
        <w:t> </w:t>
      </w:r>
      <w:r>
        <w:rPr/>
        <w:t>disability</w:t>
      </w:r>
      <w:r>
        <w:rPr>
          <w:spacing w:val="-6"/>
        </w:rPr>
        <w:t> </w:t>
      </w:r>
      <w:r>
        <w:rPr/>
        <w:t>shall</w:t>
      </w:r>
      <w:r>
        <w:rPr>
          <w:spacing w:val="-6"/>
        </w:rPr>
        <w:t> </w:t>
      </w:r>
      <w:r>
        <w:rPr/>
        <w:t>in</w:t>
      </w:r>
      <w:r>
        <w:rPr>
          <w:spacing w:val="-6"/>
        </w:rPr>
        <w:t> </w:t>
      </w:r>
      <w:r>
        <w:rPr/>
        <w:t>no</w:t>
      </w:r>
      <w:r>
        <w:rPr>
          <w:spacing w:val="-7"/>
        </w:rPr>
        <w:t> </w:t>
      </w:r>
      <w:r>
        <w:rPr/>
        <w:t>case justify a deprivation of</w:t>
      </w:r>
      <w:r>
        <w:rPr>
          <w:spacing w:val="-13"/>
        </w:rPr>
        <w:t> </w:t>
      </w:r>
      <w:r>
        <w:rPr/>
        <w:t>liberty”.</w:t>
      </w:r>
    </w:p>
    <w:p>
      <w:pPr>
        <w:pStyle w:val="BodyText"/>
      </w:pPr>
    </w:p>
    <w:p>
      <w:pPr>
        <w:pStyle w:val="BodyText"/>
        <w:ind w:left="120" w:right="229"/>
        <w:jc w:val="both"/>
      </w:pPr>
      <w:r>
        <w:rPr/>
        <w:t>The Committee on the Rights of Persons with Disabilities, the body of experts that exists by reason of article 34 of the Convention and has as its central task reviewing the implementation of the Convention, issued guidelines on article 14 in September 2015.</w:t>
      </w:r>
      <w:hyperlink w:history="true" w:anchor="_bookmark1">
        <w:r>
          <w:rPr>
            <w:position w:val="8"/>
            <w:sz w:val="16"/>
          </w:rPr>
          <w:t>2 </w:t>
        </w:r>
      </w:hyperlink>
      <w:r>
        <w:rPr/>
        <w:t>These make clear the view of the Committee that it is not permissible to detain someone on the basis of a risk posed to self or others that is linked to a psychosocial disorder or intellectual impairment.</w:t>
      </w:r>
      <w:hyperlink w:history="true" w:anchor="_bookmark2">
        <w:r>
          <w:rPr>
            <w:position w:val="8"/>
            <w:sz w:val="16"/>
          </w:rPr>
          <w:t>3 </w:t>
        </w:r>
      </w:hyperlink>
      <w:r>
        <w:rPr/>
        <w:t>Its rationale is that, in the first place, the drafters of the Convention expressly rejected language that would have permitted detention if there was an impairment plus an additional feature such as risk to self or others.</w:t>
      </w:r>
      <w:hyperlink w:history="true" w:anchor="_bookmark3">
        <w:r>
          <w:rPr>
            <w:position w:val="8"/>
            <w:sz w:val="16"/>
          </w:rPr>
          <w:t>4</w:t>
        </w:r>
      </w:hyperlink>
      <w:r>
        <w:rPr>
          <w:position w:val="8"/>
          <w:sz w:val="16"/>
        </w:rPr>
        <w:t> </w:t>
      </w:r>
      <w:r>
        <w:rPr/>
        <w:t>Secondly,</w:t>
      </w:r>
      <w:r>
        <w:rPr>
          <w:spacing w:val="-12"/>
        </w:rPr>
        <w:t> </w:t>
      </w:r>
      <w:r>
        <w:rPr/>
        <w:t>the</w:t>
      </w:r>
      <w:r>
        <w:rPr>
          <w:spacing w:val="-13"/>
        </w:rPr>
        <w:t> </w:t>
      </w:r>
      <w:r>
        <w:rPr/>
        <w:t>Committee</w:t>
      </w:r>
      <w:r>
        <w:rPr>
          <w:spacing w:val="-13"/>
        </w:rPr>
        <w:t> </w:t>
      </w:r>
      <w:r>
        <w:rPr/>
        <w:t>notes</w:t>
      </w:r>
      <w:r>
        <w:rPr>
          <w:spacing w:val="-13"/>
        </w:rPr>
        <w:t> </w:t>
      </w:r>
      <w:r>
        <w:rPr/>
        <w:t>that,</w:t>
      </w:r>
      <w:r>
        <w:rPr>
          <w:spacing w:val="-12"/>
        </w:rPr>
        <w:t> </w:t>
      </w:r>
      <w:r>
        <w:rPr/>
        <w:t>in</w:t>
      </w:r>
      <w:r>
        <w:rPr>
          <w:spacing w:val="-12"/>
        </w:rPr>
        <w:t> </w:t>
      </w:r>
      <w:r>
        <w:rPr/>
        <w:t>the</w:t>
      </w:r>
      <w:r>
        <w:rPr>
          <w:spacing w:val="-13"/>
        </w:rPr>
        <w:t> </w:t>
      </w:r>
      <w:r>
        <w:rPr/>
        <w:t>context</w:t>
      </w:r>
      <w:r>
        <w:rPr>
          <w:spacing w:val="-13"/>
        </w:rPr>
        <w:t> </w:t>
      </w:r>
      <w:r>
        <w:rPr/>
        <w:t>of</w:t>
      </w:r>
      <w:r>
        <w:rPr>
          <w:spacing w:val="-12"/>
        </w:rPr>
        <w:t> </w:t>
      </w:r>
      <w:r>
        <w:rPr/>
        <w:t>liberty</w:t>
      </w:r>
      <w:r>
        <w:rPr>
          <w:spacing w:val="-12"/>
        </w:rPr>
        <w:t> </w:t>
      </w:r>
      <w:r>
        <w:rPr/>
        <w:t>and</w:t>
      </w:r>
      <w:r>
        <w:rPr>
          <w:spacing w:val="-12"/>
        </w:rPr>
        <w:t> </w:t>
      </w:r>
      <w:r>
        <w:rPr/>
        <w:t>security</w:t>
      </w:r>
      <w:r>
        <w:rPr>
          <w:spacing w:val="-12"/>
        </w:rPr>
        <w:t> </w:t>
      </w:r>
      <w:r>
        <w:rPr/>
        <w:t>of</w:t>
      </w:r>
      <w:r>
        <w:rPr>
          <w:spacing w:val="-12"/>
        </w:rPr>
        <w:t> </w:t>
      </w:r>
      <w:r>
        <w:rPr/>
        <w:t>the</w:t>
      </w:r>
      <w:r>
        <w:rPr>
          <w:spacing w:val="-13"/>
        </w:rPr>
        <w:t> </w:t>
      </w:r>
      <w:r>
        <w:rPr/>
        <w:t>person being “one of the most precious rights to which everyone is entitled” (and</w:t>
      </w:r>
      <w:r>
        <w:rPr>
          <w:spacing w:val="65"/>
        </w:rPr>
        <w:t> </w:t>
      </w:r>
      <w:r>
        <w:rPr/>
        <w:t>specifically</w:t>
      </w:r>
    </w:p>
    <w:p>
      <w:pPr>
        <w:pStyle w:val="BodyText"/>
        <w:spacing w:before="4"/>
      </w:pPr>
      <w:r>
        <w:rPr/>
        <w:pict>
          <v:line style="position:absolute;mso-position-horizontal-relative:page;mso-position-vertical-relative:paragraph;z-index:0;mso-wrap-distance-left:0;mso-wrap-distance-right:0" from="67.019997pt,16.923857pt" to="211.019997pt,16.923857pt" stroked="true" strokeweight=".54pt" strokecolor="#000000">
            <v:stroke dashstyle="solid"/>
            <w10:wrap type="topAndBottom"/>
          </v:line>
        </w:pict>
      </w:r>
    </w:p>
    <w:p>
      <w:pPr>
        <w:spacing w:before="65"/>
        <w:ind w:left="290" w:right="117" w:hanging="171"/>
        <w:jc w:val="both"/>
        <w:rPr>
          <w:sz w:val="20"/>
        </w:rPr>
      </w:pPr>
      <w:bookmarkStart w:name="_bookmark0" w:id="2"/>
      <w:bookmarkEnd w:id="2"/>
      <w:r>
        <w:rPr/>
      </w:r>
      <w:r>
        <w:rPr>
          <w:position w:val="7"/>
          <w:sz w:val="13"/>
        </w:rPr>
        <w:t>1 </w:t>
      </w:r>
      <w:r>
        <w:rPr>
          <w:sz w:val="20"/>
        </w:rPr>
        <w:t>(United Nations [UN]) 2515 UNTS 3, UN Doc A/RES/61/106, Annex, GAOR 61st Session Supp 49, 65. (Adopted) 13</w:t>
      </w:r>
      <w:r>
        <w:rPr>
          <w:position w:val="7"/>
          <w:sz w:val="13"/>
        </w:rPr>
        <w:t>th </w:t>
      </w:r>
      <w:r>
        <w:rPr>
          <w:sz w:val="20"/>
        </w:rPr>
        <w:t>Dec 2006, (Opened For Signature) 30</w:t>
      </w:r>
      <w:r>
        <w:rPr>
          <w:position w:val="7"/>
          <w:sz w:val="13"/>
        </w:rPr>
        <w:t>th </w:t>
      </w:r>
      <w:r>
        <w:rPr>
          <w:sz w:val="20"/>
        </w:rPr>
        <w:t>Mar 2007, [Entered Into Force] 3</w:t>
      </w:r>
      <w:r>
        <w:rPr>
          <w:position w:val="7"/>
          <w:sz w:val="13"/>
        </w:rPr>
        <w:t>rd </w:t>
      </w:r>
      <w:r>
        <w:rPr>
          <w:sz w:val="20"/>
        </w:rPr>
        <w:t>May 2008</w:t>
      </w:r>
    </w:p>
    <w:p>
      <w:pPr>
        <w:spacing w:before="0"/>
        <w:ind w:left="290" w:right="117" w:hanging="171"/>
        <w:jc w:val="both"/>
        <w:rPr>
          <w:sz w:val="20"/>
        </w:rPr>
      </w:pPr>
      <w:bookmarkStart w:name="_bookmark1" w:id="3"/>
      <w:bookmarkEnd w:id="3"/>
      <w:r>
        <w:rPr/>
      </w:r>
      <w:r>
        <w:rPr>
          <w:position w:val="7"/>
          <w:sz w:val="13"/>
        </w:rPr>
        <w:t>2 </w:t>
      </w:r>
      <w:r>
        <w:rPr>
          <w:sz w:val="20"/>
        </w:rPr>
        <w:t>United Nations Committee on the Rights of Persons with Disabilities, Guidelines on article 14 of the Convention on the Rights of Persons with Disabilities: The right to liberty and security of persons with disabilities, Adopted during the Committee’s 14</w:t>
      </w:r>
      <w:r>
        <w:rPr>
          <w:position w:val="7"/>
          <w:sz w:val="13"/>
        </w:rPr>
        <w:t>th </w:t>
      </w:r>
      <w:r>
        <w:rPr>
          <w:sz w:val="20"/>
        </w:rPr>
        <w:t>session, held in September 2015, available from the home page of the Committee. </w:t>
      </w:r>
      <w:hyperlink r:id="rId7">
        <w:r>
          <w:rPr>
            <w:color w:val="0000FF"/>
            <w:sz w:val="20"/>
            <w:u w:val="single" w:color="0000FF"/>
          </w:rPr>
          <w:t>http://www.ohchr.org/EN/HRBodies/CRPD/Pages/CRPDIndex.aspx</w:t>
        </w:r>
        <w:r>
          <w:rPr>
            <w:sz w:val="20"/>
          </w:rPr>
          <w:t>.</w:t>
        </w:r>
      </w:hyperlink>
    </w:p>
    <w:p>
      <w:pPr>
        <w:spacing w:line="241" w:lineRule="exact" w:before="0"/>
        <w:ind w:left="120" w:right="0" w:firstLine="0"/>
        <w:jc w:val="left"/>
        <w:rPr>
          <w:sz w:val="20"/>
        </w:rPr>
      </w:pPr>
      <w:bookmarkStart w:name="_bookmark2" w:id="4"/>
      <w:bookmarkEnd w:id="4"/>
      <w:r>
        <w:rPr/>
      </w:r>
      <w:r>
        <w:rPr>
          <w:position w:val="7"/>
          <w:sz w:val="13"/>
        </w:rPr>
        <w:t>3 </w:t>
      </w:r>
      <w:r>
        <w:rPr>
          <w:sz w:val="20"/>
        </w:rPr>
        <w:t>Guidelines, paras 6, 10 and 13 relate to civil detention scenarios.</w:t>
      </w:r>
    </w:p>
    <w:p>
      <w:pPr>
        <w:spacing w:before="0"/>
        <w:ind w:left="120" w:right="0" w:firstLine="0"/>
        <w:jc w:val="left"/>
        <w:rPr>
          <w:sz w:val="20"/>
        </w:rPr>
      </w:pPr>
      <w:bookmarkStart w:name="_bookmark3" w:id="5"/>
      <w:bookmarkEnd w:id="5"/>
      <w:r>
        <w:rPr/>
      </w:r>
      <w:r>
        <w:rPr>
          <w:position w:val="7"/>
          <w:sz w:val="13"/>
        </w:rPr>
        <w:t>4 </w:t>
      </w:r>
      <w:r>
        <w:rPr>
          <w:sz w:val="20"/>
        </w:rPr>
        <w:t>Guidelines, para 7.</w:t>
      </w:r>
    </w:p>
    <w:p>
      <w:pPr>
        <w:spacing w:after="0"/>
        <w:jc w:val="left"/>
        <w:rPr>
          <w:sz w:val="20"/>
        </w:rPr>
        <w:sectPr>
          <w:headerReference w:type="default" r:id="rId5"/>
          <w:footerReference w:type="default" r:id="rId6"/>
          <w:type w:val="continuous"/>
          <w:pgSz w:w="11910" w:h="16840"/>
          <w:pgMar w:header="763" w:footer="1025" w:top="980" w:bottom="1220" w:left="1220" w:right="1200"/>
          <w:pgNumType w:start="144"/>
        </w:sectPr>
      </w:pPr>
    </w:p>
    <w:p>
      <w:pPr>
        <w:pStyle w:val="BodyText"/>
        <w:spacing w:before="4"/>
        <w:rPr>
          <w:sz w:val="21"/>
        </w:rPr>
      </w:pPr>
    </w:p>
    <w:p>
      <w:pPr>
        <w:pStyle w:val="BodyText"/>
        <w:spacing w:before="100"/>
        <w:ind w:left="120" w:right="231"/>
        <w:jc w:val="both"/>
      </w:pPr>
      <w:r>
        <w:rPr/>
        <w:t>that persons with intellectual disabilities and psychosocial disabilities enjoy the right),</w:t>
      </w:r>
      <w:hyperlink w:history="true" w:anchor="_bookmark4">
        <w:r>
          <w:rPr>
            <w:position w:val="8"/>
            <w:sz w:val="16"/>
          </w:rPr>
          <w:t>5</w:t>
        </w:r>
      </w:hyperlink>
      <w:r>
        <w:rPr>
          <w:position w:val="8"/>
          <w:sz w:val="16"/>
        </w:rPr>
        <w:t> </w:t>
      </w:r>
      <w:r>
        <w:rPr/>
        <w:t>article 14 is “in essence, a non-discrimination provision”, such that it:</w:t>
      </w:r>
    </w:p>
    <w:p>
      <w:pPr>
        <w:spacing w:before="242"/>
        <w:ind w:left="687" w:right="230" w:firstLine="0"/>
        <w:jc w:val="both"/>
        <w:rPr>
          <w:sz w:val="13"/>
        </w:rPr>
      </w:pPr>
      <w:r>
        <w:rPr>
          <w:sz w:val="20"/>
        </w:rPr>
        <w:t>relates</w:t>
      </w:r>
      <w:r>
        <w:rPr>
          <w:spacing w:val="-4"/>
          <w:sz w:val="20"/>
        </w:rPr>
        <w:t> </w:t>
      </w:r>
      <w:r>
        <w:rPr>
          <w:sz w:val="20"/>
        </w:rPr>
        <w:t>directly</w:t>
      </w:r>
      <w:r>
        <w:rPr>
          <w:spacing w:val="-5"/>
          <w:sz w:val="20"/>
        </w:rPr>
        <w:t> </w:t>
      </w:r>
      <w:r>
        <w:rPr>
          <w:sz w:val="20"/>
        </w:rPr>
        <w:t>to</w:t>
      </w:r>
      <w:r>
        <w:rPr>
          <w:spacing w:val="-5"/>
          <w:sz w:val="20"/>
        </w:rPr>
        <w:t> </w:t>
      </w:r>
      <w:r>
        <w:rPr>
          <w:sz w:val="20"/>
        </w:rPr>
        <w:t>the</w:t>
      </w:r>
      <w:r>
        <w:rPr>
          <w:spacing w:val="-5"/>
          <w:sz w:val="20"/>
        </w:rPr>
        <w:t> </w:t>
      </w:r>
      <w:r>
        <w:rPr>
          <w:sz w:val="20"/>
        </w:rPr>
        <w:t>purpose</w:t>
      </w:r>
      <w:r>
        <w:rPr>
          <w:spacing w:val="-6"/>
          <w:sz w:val="20"/>
        </w:rPr>
        <w:t> </w:t>
      </w:r>
      <w:r>
        <w:rPr>
          <w:sz w:val="20"/>
        </w:rPr>
        <w:t>of</w:t>
      </w:r>
      <w:r>
        <w:rPr>
          <w:spacing w:val="-5"/>
          <w:sz w:val="20"/>
        </w:rPr>
        <w:t> </w:t>
      </w:r>
      <w:r>
        <w:rPr>
          <w:sz w:val="20"/>
        </w:rPr>
        <w:t>the</w:t>
      </w:r>
      <w:r>
        <w:rPr>
          <w:spacing w:val="-5"/>
          <w:sz w:val="20"/>
        </w:rPr>
        <w:t> </w:t>
      </w:r>
      <w:r>
        <w:rPr>
          <w:sz w:val="20"/>
        </w:rPr>
        <w:t>Convention,</w:t>
      </w:r>
      <w:r>
        <w:rPr>
          <w:spacing w:val="-4"/>
          <w:sz w:val="20"/>
        </w:rPr>
        <w:t> </w:t>
      </w:r>
      <w:r>
        <w:rPr>
          <w:sz w:val="20"/>
        </w:rPr>
        <w:t>which</w:t>
      </w:r>
      <w:r>
        <w:rPr>
          <w:spacing w:val="-5"/>
          <w:sz w:val="20"/>
        </w:rPr>
        <w:t> </w:t>
      </w:r>
      <w:r>
        <w:rPr>
          <w:sz w:val="20"/>
        </w:rPr>
        <w:t>is</w:t>
      </w:r>
      <w:r>
        <w:rPr>
          <w:spacing w:val="-4"/>
          <w:sz w:val="20"/>
        </w:rPr>
        <w:t> </w:t>
      </w:r>
      <w:r>
        <w:rPr>
          <w:sz w:val="20"/>
        </w:rPr>
        <w:t>to</w:t>
      </w:r>
      <w:r>
        <w:rPr>
          <w:spacing w:val="-5"/>
          <w:sz w:val="20"/>
        </w:rPr>
        <w:t> </w:t>
      </w:r>
      <w:r>
        <w:rPr>
          <w:sz w:val="20"/>
        </w:rPr>
        <w:t>ensure</w:t>
      </w:r>
      <w:r>
        <w:rPr>
          <w:spacing w:val="-5"/>
          <w:sz w:val="20"/>
        </w:rPr>
        <w:t> </w:t>
      </w:r>
      <w:r>
        <w:rPr>
          <w:sz w:val="20"/>
        </w:rPr>
        <w:t>the</w:t>
      </w:r>
      <w:r>
        <w:rPr>
          <w:spacing w:val="-5"/>
          <w:sz w:val="20"/>
        </w:rPr>
        <w:t> </w:t>
      </w:r>
      <w:r>
        <w:rPr>
          <w:sz w:val="20"/>
        </w:rPr>
        <w:t>full</w:t>
      </w:r>
      <w:r>
        <w:rPr>
          <w:spacing w:val="-5"/>
          <w:sz w:val="20"/>
        </w:rPr>
        <w:t> </w:t>
      </w:r>
      <w:r>
        <w:rPr>
          <w:sz w:val="20"/>
        </w:rPr>
        <w:t>and</w:t>
      </w:r>
      <w:r>
        <w:rPr>
          <w:spacing w:val="-5"/>
          <w:sz w:val="20"/>
        </w:rPr>
        <w:t> </w:t>
      </w:r>
      <w:r>
        <w:rPr>
          <w:sz w:val="20"/>
        </w:rPr>
        <w:t>equal</w:t>
      </w:r>
      <w:r>
        <w:rPr>
          <w:spacing w:val="-5"/>
          <w:sz w:val="20"/>
        </w:rPr>
        <w:t> </w:t>
      </w:r>
      <w:r>
        <w:rPr>
          <w:sz w:val="20"/>
        </w:rPr>
        <w:t>enjoyment of all human rights and fundamental freedoms by all persons with disabilities and to promote respect of their inherent</w:t>
      </w:r>
      <w:r>
        <w:rPr>
          <w:spacing w:val="-7"/>
          <w:sz w:val="20"/>
        </w:rPr>
        <w:t> </w:t>
      </w:r>
      <w:r>
        <w:rPr>
          <w:sz w:val="20"/>
        </w:rPr>
        <w:t>dignity.</w:t>
      </w:r>
      <w:hyperlink w:history="true" w:anchor="_bookmark5">
        <w:r>
          <w:rPr>
            <w:position w:val="7"/>
            <w:sz w:val="13"/>
          </w:rPr>
          <w:t>6</w:t>
        </w:r>
      </w:hyperlink>
    </w:p>
    <w:p>
      <w:pPr>
        <w:pStyle w:val="BodyText"/>
        <w:spacing w:before="10"/>
        <w:rPr>
          <w:sz w:val="19"/>
        </w:rPr>
      </w:pPr>
    </w:p>
    <w:p>
      <w:pPr>
        <w:pStyle w:val="BodyText"/>
        <w:spacing w:before="1"/>
        <w:ind w:left="120" w:right="229"/>
        <w:jc w:val="both"/>
      </w:pPr>
      <w:r>
        <w:rPr/>
        <w:t>As</w:t>
      </w:r>
      <w:r>
        <w:rPr>
          <w:spacing w:val="-6"/>
        </w:rPr>
        <w:t> </w:t>
      </w:r>
      <w:r>
        <w:rPr/>
        <w:t>such,</w:t>
      </w:r>
      <w:r>
        <w:rPr>
          <w:spacing w:val="-6"/>
        </w:rPr>
        <w:t> </w:t>
      </w:r>
      <w:r>
        <w:rPr/>
        <w:t>detention</w:t>
      </w:r>
      <w:r>
        <w:rPr>
          <w:spacing w:val="-6"/>
        </w:rPr>
        <w:t> </w:t>
      </w:r>
      <w:r>
        <w:rPr/>
        <w:t>in</w:t>
      </w:r>
      <w:r>
        <w:rPr>
          <w:spacing w:val="-7"/>
        </w:rPr>
        <w:t> </w:t>
      </w:r>
      <w:r>
        <w:rPr/>
        <w:t>institutions</w:t>
      </w:r>
      <w:r>
        <w:rPr>
          <w:spacing w:val="-7"/>
        </w:rPr>
        <w:t> </w:t>
      </w:r>
      <w:r>
        <w:rPr/>
        <w:t>“either</w:t>
      </w:r>
      <w:r>
        <w:rPr>
          <w:spacing w:val="-5"/>
        </w:rPr>
        <w:t> </w:t>
      </w:r>
      <w:r>
        <w:rPr/>
        <w:t>without</w:t>
      </w:r>
      <w:r>
        <w:rPr>
          <w:spacing w:val="-6"/>
        </w:rPr>
        <w:t> </w:t>
      </w:r>
      <w:r>
        <w:rPr/>
        <w:t>the</w:t>
      </w:r>
      <w:r>
        <w:rPr>
          <w:spacing w:val="-7"/>
        </w:rPr>
        <w:t> </w:t>
      </w:r>
      <w:r>
        <w:rPr/>
        <w:t>free</w:t>
      </w:r>
      <w:r>
        <w:rPr>
          <w:spacing w:val="-6"/>
        </w:rPr>
        <w:t> </w:t>
      </w:r>
      <w:r>
        <w:rPr/>
        <w:t>and</w:t>
      </w:r>
      <w:r>
        <w:rPr>
          <w:spacing w:val="-6"/>
        </w:rPr>
        <w:t> </w:t>
      </w:r>
      <w:r>
        <w:rPr/>
        <w:t>informed</w:t>
      </w:r>
      <w:r>
        <w:rPr>
          <w:spacing w:val="-5"/>
        </w:rPr>
        <w:t> </w:t>
      </w:r>
      <w:r>
        <w:rPr/>
        <w:t>consent”</w:t>
      </w:r>
      <w:r>
        <w:rPr>
          <w:spacing w:val="-7"/>
        </w:rPr>
        <w:t> </w:t>
      </w:r>
      <w:r>
        <w:rPr/>
        <w:t>of</w:t>
      </w:r>
      <w:r>
        <w:rPr>
          <w:spacing w:val="-6"/>
        </w:rPr>
        <w:t> </w:t>
      </w:r>
      <w:r>
        <w:rPr/>
        <w:t>the detainee or on the basis of a substitute decision-maker giving consent is arbitrary detention.</w:t>
      </w:r>
      <w:hyperlink w:history="true" w:anchor="_bookmark6">
        <w:r>
          <w:rPr>
            <w:position w:val="8"/>
            <w:sz w:val="16"/>
          </w:rPr>
          <w:t>7 </w:t>
        </w:r>
      </w:hyperlink>
      <w:r>
        <w:rPr/>
        <w:t>The position of the Committee is that if a person poses a risk to others, they</w:t>
      </w:r>
      <w:r>
        <w:rPr>
          <w:spacing w:val="-15"/>
        </w:rPr>
        <w:t> </w:t>
      </w:r>
      <w:r>
        <w:rPr/>
        <w:t>should</w:t>
      </w:r>
      <w:r>
        <w:rPr>
          <w:spacing w:val="-15"/>
        </w:rPr>
        <w:t> </w:t>
      </w:r>
      <w:r>
        <w:rPr/>
        <w:t>be</w:t>
      </w:r>
      <w:r>
        <w:rPr>
          <w:spacing w:val="-15"/>
        </w:rPr>
        <w:t> </w:t>
      </w:r>
      <w:r>
        <w:rPr/>
        <w:t>dealt</w:t>
      </w:r>
      <w:r>
        <w:rPr>
          <w:spacing w:val="-14"/>
        </w:rPr>
        <w:t> </w:t>
      </w:r>
      <w:r>
        <w:rPr/>
        <w:t>with</w:t>
      </w:r>
      <w:r>
        <w:rPr>
          <w:spacing w:val="-15"/>
        </w:rPr>
        <w:t> </w:t>
      </w:r>
      <w:r>
        <w:rPr/>
        <w:t>by</w:t>
      </w:r>
      <w:r>
        <w:rPr>
          <w:spacing w:val="-15"/>
        </w:rPr>
        <w:t> </w:t>
      </w:r>
      <w:r>
        <w:rPr/>
        <w:t>the</w:t>
      </w:r>
      <w:r>
        <w:rPr>
          <w:spacing w:val="-14"/>
        </w:rPr>
        <w:t> </w:t>
      </w:r>
      <w:r>
        <w:rPr/>
        <w:t>criminal</w:t>
      </w:r>
      <w:r>
        <w:rPr>
          <w:spacing w:val="-16"/>
        </w:rPr>
        <w:t> </w:t>
      </w:r>
      <w:r>
        <w:rPr/>
        <w:t>law</w:t>
      </w:r>
      <w:r>
        <w:rPr>
          <w:spacing w:val="-16"/>
        </w:rPr>
        <w:t> </w:t>
      </w:r>
      <w:r>
        <w:rPr/>
        <w:t>or</w:t>
      </w:r>
      <w:r>
        <w:rPr>
          <w:spacing w:val="-15"/>
        </w:rPr>
        <w:t> </w:t>
      </w:r>
      <w:r>
        <w:rPr/>
        <w:t>other</w:t>
      </w:r>
      <w:r>
        <w:rPr>
          <w:spacing w:val="-15"/>
        </w:rPr>
        <w:t> </w:t>
      </w:r>
      <w:r>
        <w:rPr/>
        <w:t>laws</w:t>
      </w:r>
      <w:r>
        <w:rPr>
          <w:spacing w:val="-14"/>
        </w:rPr>
        <w:t> </w:t>
      </w:r>
      <w:r>
        <w:rPr/>
        <w:t>(in</w:t>
      </w:r>
      <w:r>
        <w:rPr>
          <w:spacing w:val="-15"/>
        </w:rPr>
        <w:t> </w:t>
      </w:r>
      <w:r>
        <w:rPr/>
        <w:t>short,</w:t>
      </w:r>
      <w:r>
        <w:rPr>
          <w:spacing w:val="-15"/>
        </w:rPr>
        <w:t> </w:t>
      </w:r>
      <w:r>
        <w:rPr/>
        <w:t>the</w:t>
      </w:r>
      <w:r>
        <w:rPr>
          <w:spacing w:val="-15"/>
        </w:rPr>
        <w:t> </w:t>
      </w:r>
      <w:r>
        <w:rPr/>
        <w:t>same</w:t>
      </w:r>
      <w:r>
        <w:rPr>
          <w:spacing w:val="-14"/>
        </w:rPr>
        <w:t> </w:t>
      </w:r>
      <w:r>
        <w:rPr/>
        <w:t>response irrespective of whether there is an impairment or not);</w:t>
      </w:r>
      <w:hyperlink w:history="true" w:anchor="_bookmark7">
        <w:r>
          <w:rPr>
            <w:position w:val="8"/>
            <w:sz w:val="16"/>
          </w:rPr>
          <w:t>8 </w:t>
        </w:r>
      </w:hyperlink>
      <w:r>
        <w:rPr/>
        <w:t>and that if a person fails to secure psychiatric treatment they probably require, that should be viewed as no more than the consequence of the fact that the right to make choices “includes the</w:t>
      </w:r>
      <w:r>
        <w:rPr>
          <w:spacing w:val="-50"/>
        </w:rPr>
        <w:t> </w:t>
      </w:r>
      <w:r>
        <w:rPr/>
        <w:t>freedom to take risks and make mistakes”,</w:t>
      </w:r>
      <w:hyperlink w:history="true" w:anchor="_bookmark8">
        <w:r>
          <w:rPr>
            <w:position w:val="8"/>
            <w:sz w:val="16"/>
          </w:rPr>
          <w:t>9</w:t>
        </w:r>
      </w:hyperlink>
      <w:r>
        <w:rPr>
          <w:position w:val="8"/>
          <w:sz w:val="16"/>
        </w:rPr>
        <w:t> </w:t>
      </w:r>
      <w:r>
        <w:rPr/>
        <w:t>which has to be enjoyed equally by people experiencing</w:t>
      </w:r>
      <w:r>
        <w:rPr>
          <w:spacing w:val="-9"/>
        </w:rPr>
        <w:t> </w:t>
      </w:r>
      <w:r>
        <w:rPr/>
        <w:t>disability.</w:t>
      </w:r>
    </w:p>
    <w:p>
      <w:pPr>
        <w:pStyle w:val="BodyText"/>
        <w:spacing w:before="11"/>
        <w:rPr>
          <w:sz w:val="23"/>
        </w:rPr>
      </w:pPr>
    </w:p>
    <w:p>
      <w:pPr>
        <w:pStyle w:val="BodyText"/>
        <w:ind w:left="120" w:right="228"/>
        <w:jc w:val="both"/>
        <w:rPr>
          <w:sz w:val="16"/>
        </w:rPr>
      </w:pPr>
      <w:r>
        <w:rPr/>
        <w:t>Criminal processes that involve differential treatment – such as fitness to stand trial provisions – are criticised because they involve a “separate track of law” which invariably entails lower “due process and fair trial” rights, such that that they breach article 13 as well as – if detention is involved - article 14.</w:t>
      </w:r>
      <w:hyperlink w:history="true" w:anchor="_bookmark9">
        <w:r>
          <w:rPr>
            <w:position w:val="8"/>
            <w:sz w:val="16"/>
          </w:rPr>
          <w:t>10 </w:t>
        </w:r>
      </w:hyperlink>
      <w:r>
        <w:rPr/>
        <w:t>The Committee supports instead</w:t>
      </w:r>
      <w:r>
        <w:rPr>
          <w:spacing w:val="-16"/>
        </w:rPr>
        <w:t> </w:t>
      </w:r>
      <w:r>
        <w:rPr/>
        <w:t>relevant</w:t>
      </w:r>
      <w:r>
        <w:rPr>
          <w:spacing w:val="-16"/>
        </w:rPr>
        <w:t> </w:t>
      </w:r>
      <w:r>
        <w:rPr/>
        <w:t>support</w:t>
      </w:r>
      <w:r>
        <w:rPr>
          <w:spacing w:val="-15"/>
        </w:rPr>
        <w:t> </w:t>
      </w:r>
      <w:r>
        <w:rPr/>
        <w:t>and</w:t>
      </w:r>
      <w:r>
        <w:rPr>
          <w:spacing w:val="-16"/>
        </w:rPr>
        <w:t> </w:t>
      </w:r>
      <w:r>
        <w:rPr/>
        <w:t>procedural</w:t>
      </w:r>
      <w:r>
        <w:rPr>
          <w:spacing w:val="-16"/>
        </w:rPr>
        <w:t> </w:t>
      </w:r>
      <w:r>
        <w:rPr/>
        <w:t>accommodations</w:t>
      </w:r>
      <w:r>
        <w:rPr>
          <w:spacing w:val="-15"/>
        </w:rPr>
        <w:t> </w:t>
      </w:r>
      <w:r>
        <w:rPr/>
        <w:t>to</w:t>
      </w:r>
      <w:r>
        <w:rPr>
          <w:spacing w:val="-16"/>
        </w:rPr>
        <w:t> </w:t>
      </w:r>
      <w:r>
        <w:rPr/>
        <w:t>ensure</w:t>
      </w:r>
      <w:r>
        <w:rPr>
          <w:spacing w:val="-16"/>
        </w:rPr>
        <w:t> </w:t>
      </w:r>
      <w:r>
        <w:rPr/>
        <w:t>a</w:t>
      </w:r>
      <w:r>
        <w:rPr>
          <w:spacing w:val="-15"/>
        </w:rPr>
        <w:t> </w:t>
      </w:r>
      <w:r>
        <w:rPr/>
        <w:t>fair</w:t>
      </w:r>
      <w:r>
        <w:rPr>
          <w:spacing w:val="-16"/>
        </w:rPr>
        <w:t> </w:t>
      </w:r>
      <w:r>
        <w:rPr/>
        <w:t>trial</w:t>
      </w:r>
      <w:r>
        <w:rPr>
          <w:spacing w:val="-16"/>
        </w:rPr>
        <w:t> </w:t>
      </w:r>
      <w:r>
        <w:rPr/>
        <w:t>following due</w:t>
      </w:r>
      <w:r>
        <w:rPr>
          <w:spacing w:val="3"/>
        </w:rPr>
        <w:t> </w:t>
      </w:r>
      <w:r>
        <w:rPr/>
        <w:t>process.</w:t>
      </w:r>
      <w:hyperlink w:history="true" w:anchor="_bookmark10">
        <w:r>
          <w:rPr>
            <w:position w:val="8"/>
            <w:sz w:val="16"/>
          </w:rPr>
          <w:t>11</w:t>
        </w:r>
      </w:hyperlink>
    </w:p>
    <w:p>
      <w:pPr>
        <w:pStyle w:val="BodyText"/>
      </w:pPr>
    </w:p>
    <w:p>
      <w:pPr>
        <w:pStyle w:val="BodyText"/>
        <w:ind w:left="120" w:right="229"/>
        <w:jc w:val="both"/>
      </w:pPr>
      <w:r>
        <w:rPr/>
        <w:t>Naturally, the existence in so many countries of unfitness to stand trial laws (not to mention civil commitment laws) means that, if the Committee is correct, a lot has to be</w:t>
      </w:r>
      <w:r>
        <w:rPr>
          <w:spacing w:val="-7"/>
        </w:rPr>
        <w:t> </w:t>
      </w:r>
      <w:r>
        <w:rPr/>
        <w:t>changed.</w:t>
      </w:r>
      <w:r>
        <w:rPr>
          <w:spacing w:val="-6"/>
        </w:rPr>
        <w:t> </w:t>
      </w:r>
      <w:r>
        <w:rPr/>
        <w:t>The</w:t>
      </w:r>
      <w:r>
        <w:rPr>
          <w:spacing w:val="-7"/>
        </w:rPr>
        <w:t> </w:t>
      </w:r>
      <w:r>
        <w:rPr/>
        <w:t>Latham</w:t>
      </w:r>
      <w:r>
        <w:rPr>
          <w:spacing w:val="-7"/>
        </w:rPr>
        <w:t> </w:t>
      </w:r>
      <w:r>
        <w:rPr/>
        <w:t>Committee,</w:t>
      </w:r>
      <w:r>
        <w:rPr>
          <w:spacing w:val="-6"/>
        </w:rPr>
        <w:t> </w:t>
      </w:r>
      <w:r>
        <w:rPr/>
        <w:t>however,</w:t>
      </w:r>
      <w:r>
        <w:rPr>
          <w:spacing w:val="-6"/>
        </w:rPr>
        <w:t> </w:t>
      </w:r>
      <w:r>
        <w:rPr/>
        <w:t>is</w:t>
      </w:r>
      <w:r>
        <w:rPr>
          <w:spacing w:val="-7"/>
        </w:rPr>
        <w:t> </w:t>
      </w:r>
      <w:r>
        <w:rPr/>
        <w:t>sceptical</w:t>
      </w:r>
      <w:r>
        <w:rPr>
          <w:spacing w:val="-6"/>
        </w:rPr>
        <w:t> </w:t>
      </w:r>
      <w:r>
        <w:rPr/>
        <w:t>of</w:t>
      </w:r>
      <w:r>
        <w:rPr>
          <w:spacing w:val="-6"/>
        </w:rPr>
        <w:t> </w:t>
      </w:r>
      <w:r>
        <w:rPr/>
        <w:t>the</w:t>
      </w:r>
      <w:r>
        <w:rPr>
          <w:spacing w:val="-7"/>
        </w:rPr>
        <w:t> </w:t>
      </w:r>
      <w:r>
        <w:rPr/>
        <w:t>need</w:t>
      </w:r>
      <w:r>
        <w:rPr>
          <w:spacing w:val="-6"/>
        </w:rPr>
        <w:t> </w:t>
      </w:r>
      <w:r>
        <w:rPr/>
        <w:t>for</w:t>
      </w:r>
      <w:r>
        <w:rPr>
          <w:spacing w:val="-7"/>
        </w:rPr>
        <w:t> </w:t>
      </w:r>
      <w:r>
        <w:rPr/>
        <w:t>the</w:t>
      </w:r>
      <w:r>
        <w:rPr>
          <w:spacing w:val="-7"/>
        </w:rPr>
        <w:t> </w:t>
      </w:r>
      <w:r>
        <w:rPr/>
        <w:t>removal of</w:t>
      </w:r>
      <w:r>
        <w:rPr>
          <w:spacing w:val="-9"/>
        </w:rPr>
        <w:t> </w:t>
      </w:r>
      <w:r>
        <w:rPr/>
        <w:t>unfitness</w:t>
      </w:r>
      <w:r>
        <w:rPr>
          <w:spacing w:val="-9"/>
        </w:rPr>
        <w:t> </w:t>
      </w:r>
      <w:r>
        <w:rPr/>
        <w:t>to</w:t>
      </w:r>
      <w:r>
        <w:rPr>
          <w:spacing w:val="-8"/>
        </w:rPr>
        <w:t> </w:t>
      </w:r>
      <w:r>
        <w:rPr/>
        <w:t>stand</w:t>
      </w:r>
      <w:r>
        <w:rPr>
          <w:spacing w:val="-8"/>
        </w:rPr>
        <w:t> </w:t>
      </w:r>
      <w:r>
        <w:rPr/>
        <w:t>trial</w:t>
      </w:r>
      <w:r>
        <w:rPr>
          <w:spacing w:val="-9"/>
        </w:rPr>
        <w:t> </w:t>
      </w:r>
      <w:r>
        <w:rPr/>
        <w:t>laws.</w:t>
      </w:r>
      <w:r>
        <w:rPr>
          <w:spacing w:val="-8"/>
        </w:rPr>
        <w:t> </w:t>
      </w:r>
      <w:r>
        <w:rPr/>
        <w:t>At</w:t>
      </w:r>
      <w:r>
        <w:rPr>
          <w:spacing w:val="-9"/>
        </w:rPr>
        <w:t> </w:t>
      </w:r>
      <w:r>
        <w:rPr/>
        <w:t>paras</w:t>
      </w:r>
      <w:r>
        <w:rPr>
          <w:spacing w:val="-9"/>
        </w:rPr>
        <w:t> </w:t>
      </w:r>
      <w:r>
        <w:rPr/>
        <w:t>1.14-1.19</w:t>
      </w:r>
      <w:r>
        <w:rPr>
          <w:spacing w:val="-9"/>
        </w:rPr>
        <w:t> </w:t>
      </w:r>
      <w:r>
        <w:rPr/>
        <w:t>of</w:t>
      </w:r>
      <w:r>
        <w:rPr>
          <w:spacing w:val="-9"/>
        </w:rPr>
        <w:t> </w:t>
      </w:r>
      <w:r>
        <w:rPr/>
        <w:t>its</w:t>
      </w:r>
      <w:r>
        <w:rPr>
          <w:spacing w:val="-9"/>
        </w:rPr>
        <w:t> </w:t>
      </w:r>
      <w:r>
        <w:rPr/>
        <w:t>Report,</w:t>
      </w:r>
      <w:r>
        <w:rPr>
          <w:spacing w:val="-9"/>
        </w:rPr>
        <w:t> </w:t>
      </w:r>
      <w:r>
        <w:rPr/>
        <w:t>it</w:t>
      </w:r>
      <w:r>
        <w:rPr>
          <w:spacing w:val="-9"/>
        </w:rPr>
        <w:t> </w:t>
      </w:r>
      <w:r>
        <w:rPr/>
        <w:t>expressly</w:t>
      </w:r>
      <w:r>
        <w:rPr>
          <w:spacing w:val="-8"/>
        </w:rPr>
        <w:t> </w:t>
      </w:r>
      <w:r>
        <w:rPr/>
        <w:t>rejects</w:t>
      </w:r>
      <w:r>
        <w:rPr>
          <w:spacing w:val="-9"/>
        </w:rPr>
        <w:t> </w:t>
      </w:r>
      <w:r>
        <w:rPr/>
        <w:t>the</w:t>
      </w:r>
    </w:p>
    <w:p>
      <w:pPr>
        <w:pStyle w:val="BodyText"/>
        <w:spacing w:before="5"/>
        <w:rPr>
          <w:sz w:val="12"/>
        </w:rPr>
      </w:pPr>
      <w:r>
        <w:rPr/>
        <w:pict>
          <v:line style="position:absolute;mso-position-horizontal-relative:page;mso-position-vertical-relative:paragraph;z-index:1048;mso-wrap-distance-left:0;mso-wrap-distance-right:0" from="67.019997pt,9.730909pt" to="211.019997pt,9.730909pt" stroked="true" strokeweight=".54pt" strokecolor="#000000">
            <v:stroke dashstyle="solid"/>
            <w10:wrap type="topAndBottom"/>
          </v:line>
        </w:pict>
      </w:r>
    </w:p>
    <w:p>
      <w:pPr>
        <w:spacing w:line="241" w:lineRule="exact" w:before="65"/>
        <w:ind w:left="178" w:right="0" w:firstLine="0"/>
        <w:jc w:val="left"/>
        <w:rPr>
          <w:sz w:val="20"/>
        </w:rPr>
      </w:pPr>
      <w:bookmarkStart w:name="_bookmark4" w:id="6"/>
      <w:bookmarkEnd w:id="6"/>
      <w:r>
        <w:rPr/>
      </w:r>
      <w:r>
        <w:rPr>
          <w:position w:val="7"/>
          <w:sz w:val="13"/>
        </w:rPr>
        <w:t>5 </w:t>
      </w:r>
      <w:r>
        <w:rPr>
          <w:sz w:val="20"/>
        </w:rPr>
        <w:t>Guidelines, para 3.</w:t>
      </w:r>
    </w:p>
    <w:p>
      <w:pPr>
        <w:spacing w:before="0"/>
        <w:ind w:left="290" w:right="116" w:hanging="113"/>
        <w:jc w:val="both"/>
        <w:rPr>
          <w:sz w:val="20"/>
        </w:rPr>
      </w:pPr>
      <w:bookmarkStart w:name="_bookmark5" w:id="7"/>
      <w:bookmarkEnd w:id="7"/>
      <w:r>
        <w:rPr/>
      </w:r>
      <w:r>
        <w:rPr>
          <w:position w:val="7"/>
          <w:sz w:val="13"/>
        </w:rPr>
        <w:t>6</w:t>
      </w:r>
      <w:r>
        <w:rPr>
          <w:spacing w:val="-12"/>
          <w:position w:val="7"/>
          <w:sz w:val="13"/>
        </w:rPr>
        <w:t> </w:t>
      </w:r>
      <w:r>
        <w:rPr>
          <w:sz w:val="20"/>
        </w:rPr>
        <w:t>Guidelines,</w:t>
      </w:r>
      <w:r>
        <w:rPr>
          <w:spacing w:val="-19"/>
          <w:sz w:val="20"/>
        </w:rPr>
        <w:t> </w:t>
      </w:r>
      <w:r>
        <w:rPr>
          <w:sz w:val="20"/>
        </w:rPr>
        <w:t>para</w:t>
      </w:r>
      <w:r>
        <w:rPr>
          <w:spacing w:val="-18"/>
          <w:sz w:val="20"/>
        </w:rPr>
        <w:t> </w:t>
      </w:r>
      <w:r>
        <w:rPr>
          <w:sz w:val="20"/>
        </w:rPr>
        <w:t>4.</w:t>
      </w:r>
      <w:r>
        <w:rPr>
          <w:spacing w:val="-19"/>
          <w:sz w:val="20"/>
        </w:rPr>
        <w:t> </w:t>
      </w:r>
      <w:r>
        <w:rPr>
          <w:sz w:val="20"/>
        </w:rPr>
        <w:t>This</w:t>
      </w:r>
      <w:r>
        <w:rPr>
          <w:spacing w:val="-17"/>
          <w:sz w:val="20"/>
        </w:rPr>
        <w:t> </w:t>
      </w:r>
      <w:r>
        <w:rPr>
          <w:sz w:val="20"/>
        </w:rPr>
        <w:t>is</w:t>
      </w:r>
      <w:r>
        <w:rPr>
          <w:spacing w:val="-17"/>
          <w:sz w:val="20"/>
        </w:rPr>
        <w:t> </w:t>
      </w:r>
      <w:r>
        <w:rPr>
          <w:sz w:val="20"/>
        </w:rPr>
        <w:t>reinforced</w:t>
      </w:r>
      <w:r>
        <w:rPr>
          <w:spacing w:val="-18"/>
          <w:sz w:val="20"/>
        </w:rPr>
        <w:t> </w:t>
      </w:r>
      <w:r>
        <w:rPr>
          <w:sz w:val="20"/>
        </w:rPr>
        <w:t>by</w:t>
      </w:r>
      <w:r>
        <w:rPr>
          <w:spacing w:val="-18"/>
          <w:sz w:val="20"/>
        </w:rPr>
        <w:t> </w:t>
      </w:r>
      <w:r>
        <w:rPr>
          <w:sz w:val="20"/>
        </w:rPr>
        <w:t>the</w:t>
      </w:r>
      <w:r>
        <w:rPr>
          <w:spacing w:val="-18"/>
          <w:sz w:val="20"/>
        </w:rPr>
        <w:t> </w:t>
      </w:r>
      <w:r>
        <w:rPr>
          <w:sz w:val="20"/>
        </w:rPr>
        <w:t>non-discrimination</w:t>
      </w:r>
      <w:r>
        <w:rPr>
          <w:spacing w:val="-19"/>
          <w:sz w:val="20"/>
        </w:rPr>
        <w:t> </w:t>
      </w:r>
      <w:r>
        <w:rPr>
          <w:sz w:val="20"/>
        </w:rPr>
        <w:t>and</w:t>
      </w:r>
      <w:r>
        <w:rPr>
          <w:spacing w:val="-19"/>
          <w:sz w:val="20"/>
        </w:rPr>
        <w:t> </w:t>
      </w:r>
      <w:r>
        <w:rPr>
          <w:sz w:val="20"/>
        </w:rPr>
        <w:t>equal</w:t>
      </w:r>
      <w:r>
        <w:rPr>
          <w:spacing w:val="-18"/>
          <w:sz w:val="20"/>
        </w:rPr>
        <w:t> </w:t>
      </w:r>
      <w:r>
        <w:rPr>
          <w:sz w:val="20"/>
        </w:rPr>
        <w:t>protection</w:t>
      </w:r>
      <w:r>
        <w:rPr>
          <w:spacing w:val="-18"/>
          <w:sz w:val="20"/>
        </w:rPr>
        <w:t> </w:t>
      </w:r>
      <w:r>
        <w:rPr>
          <w:sz w:val="20"/>
        </w:rPr>
        <w:t>of</w:t>
      </w:r>
      <w:r>
        <w:rPr>
          <w:spacing w:val="-19"/>
          <w:sz w:val="20"/>
        </w:rPr>
        <w:t> </w:t>
      </w:r>
      <w:r>
        <w:rPr>
          <w:sz w:val="20"/>
        </w:rPr>
        <w:t>the</w:t>
      </w:r>
      <w:r>
        <w:rPr>
          <w:spacing w:val="-18"/>
          <w:sz w:val="20"/>
        </w:rPr>
        <w:t> </w:t>
      </w:r>
      <w:r>
        <w:rPr>
          <w:sz w:val="20"/>
        </w:rPr>
        <w:t>law</w:t>
      </w:r>
      <w:r>
        <w:rPr>
          <w:spacing w:val="-19"/>
          <w:sz w:val="20"/>
        </w:rPr>
        <w:t> </w:t>
      </w:r>
      <w:r>
        <w:rPr>
          <w:sz w:val="20"/>
        </w:rPr>
        <w:t>provisions of</w:t>
      </w:r>
      <w:r>
        <w:rPr>
          <w:spacing w:val="-5"/>
          <w:sz w:val="20"/>
        </w:rPr>
        <w:t> </w:t>
      </w:r>
      <w:r>
        <w:rPr>
          <w:sz w:val="20"/>
        </w:rPr>
        <w:t>article</w:t>
      </w:r>
      <w:r>
        <w:rPr>
          <w:spacing w:val="-5"/>
          <w:sz w:val="20"/>
        </w:rPr>
        <w:t> </w:t>
      </w:r>
      <w:r>
        <w:rPr>
          <w:sz w:val="20"/>
        </w:rPr>
        <w:t>5</w:t>
      </w:r>
      <w:r>
        <w:rPr>
          <w:spacing w:val="-5"/>
          <w:sz w:val="20"/>
        </w:rPr>
        <w:t> </w:t>
      </w:r>
      <w:r>
        <w:rPr>
          <w:sz w:val="20"/>
        </w:rPr>
        <w:t>(see</w:t>
      </w:r>
      <w:r>
        <w:rPr>
          <w:spacing w:val="-5"/>
          <w:sz w:val="20"/>
        </w:rPr>
        <w:t> </w:t>
      </w:r>
      <w:r>
        <w:rPr>
          <w:sz w:val="20"/>
        </w:rPr>
        <w:t>Guidelines,</w:t>
      </w:r>
      <w:r>
        <w:rPr>
          <w:spacing w:val="-5"/>
          <w:sz w:val="20"/>
        </w:rPr>
        <w:t> </w:t>
      </w:r>
      <w:r>
        <w:rPr>
          <w:sz w:val="20"/>
        </w:rPr>
        <w:t>para</w:t>
      </w:r>
      <w:r>
        <w:rPr>
          <w:spacing w:val="-5"/>
          <w:sz w:val="20"/>
        </w:rPr>
        <w:t> </w:t>
      </w:r>
      <w:r>
        <w:rPr>
          <w:sz w:val="20"/>
        </w:rPr>
        <w:t>5)</w:t>
      </w:r>
      <w:r>
        <w:rPr>
          <w:spacing w:val="-5"/>
          <w:sz w:val="20"/>
        </w:rPr>
        <w:t> </w:t>
      </w:r>
      <w:r>
        <w:rPr>
          <w:sz w:val="20"/>
        </w:rPr>
        <w:t>and</w:t>
      </w:r>
      <w:r>
        <w:rPr>
          <w:spacing w:val="-5"/>
          <w:sz w:val="20"/>
        </w:rPr>
        <w:t> </w:t>
      </w:r>
      <w:r>
        <w:rPr>
          <w:sz w:val="20"/>
        </w:rPr>
        <w:t>the</w:t>
      </w:r>
      <w:r>
        <w:rPr>
          <w:spacing w:val="-5"/>
          <w:sz w:val="20"/>
        </w:rPr>
        <w:t> </w:t>
      </w:r>
      <w:r>
        <w:rPr>
          <w:sz w:val="20"/>
        </w:rPr>
        <w:t>recognition</w:t>
      </w:r>
      <w:r>
        <w:rPr>
          <w:spacing w:val="-5"/>
          <w:sz w:val="20"/>
        </w:rPr>
        <w:t> </w:t>
      </w:r>
      <w:r>
        <w:rPr>
          <w:sz w:val="20"/>
        </w:rPr>
        <w:t>of</w:t>
      </w:r>
      <w:r>
        <w:rPr>
          <w:spacing w:val="-5"/>
          <w:sz w:val="20"/>
        </w:rPr>
        <w:t> </w:t>
      </w:r>
      <w:r>
        <w:rPr>
          <w:sz w:val="20"/>
        </w:rPr>
        <w:t>the</w:t>
      </w:r>
      <w:r>
        <w:rPr>
          <w:spacing w:val="-5"/>
          <w:sz w:val="20"/>
        </w:rPr>
        <w:t> </w:t>
      </w:r>
      <w:r>
        <w:rPr>
          <w:sz w:val="20"/>
        </w:rPr>
        <w:t>equal</w:t>
      </w:r>
      <w:r>
        <w:rPr>
          <w:spacing w:val="-6"/>
          <w:sz w:val="20"/>
        </w:rPr>
        <w:t> </w:t>
      </w:r>
      <w:r>
        <w:rPr>
          <w:sz w:val="20"/>
        </w:rPr>
        <w:t>right</w:t>
      </w:r>
      <w:r>
        <w:rPr>
          <w:spacing w:val="-5"/>
          <w:sz w:val="20"/>
        </w:rPr>
        <w:t> </w:t>
      </w:r>
      <w:r>
        <w:rPr>
          <w:sz w:val="20"/>
        </w:rPr>
        <w:t>to</w:t>
      </w:r>
      <w:r>
        <w:rPr>
          <w:spacing w:val="-5"/>
          <w:sz w:val="20"/>
        </w:rPr>
        <w:t> </w:t>
      </w:r>
      <w:r>
        <w:rPr>
          <w:sz w:val="20"/>
        </w:rPr>
        <w:t>make</w:t>
      </w:r>
      <w:r>
        <w:rPr>
          <w:spacing w:val="-5"/>
          <w:sz w:val="20"/>
        </w:rPr>
        <w:t> </w:t>
      </w:r>
      <w:r>
        <w:rPr>
          <w:sz w:val="20"/>
        </w:rPr>
        <w:t>autonomous</w:t>
      </w:r>
      <w:r>
        <w:rPr>
          <w:spacing w:val="-4"/>
          <w:sz w:val="20"/>
        </w:rPr>
        <w:t> </w:t>
      </w:r>
      <w:r>
        <w:rPr>
          <w:sz w:val="20"/>
        </w:rPr>
        <w:t>choices in article 12 (see Guidelines, para</w:t>
      </w:r>
      <w:r>
        <w:rPr>
          <w:spacing w:val="-21"/>
          <w:sz w:val="20"/>
        </w:rPr>
        <w:t> </w:t>
      </w:r>
      <w:r>
        <w:rPr>
          <w:sz w:val="20"/>
        </w:rPr>
        <w:t>8).</w:t>
      </w:r>
    </w:p>
    <w:p>
      <w:pPr>
        <w:spacing w:before="0"/>
        <w:ind w:left="288" w:right="118" w:hanging="111"/>
        <w:jc w:val="both"/>
        <w:rPr>
          <w:sz w:val="20"/>
        </w:rPr>
      </w:pPr>
      <w:bookmarkStart w:name="_bookmark6" w:id="8"/>
      <w:bookmarkEnd w:id="8"/>
      <w:r>
        <w:rPr/>
      </w:r>
      <w:r>
        <w:rPr>
          <w:position w:val="7"/>
          <w:sz w:val="13"/>
        </w:rPr>
        <w:t>7</w:t>
      </w:r>
      <w:r>
        <w:rPr>
          <w:spacing w:val="-7"/>
          <w:position w:val="7"/>
          <w:sz w:val="13"/>
        </w:rPr>
        <w:t> </w:t>
      </w:r>
      <w:r>
        <w:rPr>
          <w:sz w:val="20"/>
        </w:rPr>
        <w:t>Guidelines,</w:t>
      </w:r>
      <w:r>
        <w:rPr>
          <w:spacing w:val="-9"/>
          <w:sz w:val="20"/>
        </w:rPr>
        <w:t> </w:t>
      </w:r>
      <w:r>
        <w:rPr>
          <w:sz w:val="20"/>
        </w:rPr>
        <w:t>paras</w:t>
      </w:r>
      <w:r>
        <w:rPr>
          <w:spacing w:val="-9"/>
          <w:sz w:val="20"/>
        </w:rPr>
        <w:t> </w:t>
      </w:r>
      <w:r>
        <w:rPr>
          <w:sz w:val="20"/>
        </w:rPr>
        <w:t>8</w:t>
      </w:r>
      <w:r>
        <w:rPr>
          <w:spacing w:val="-11"/>
          <w:sz w:val="20"/>
        </w:rPr>
        <w:t> </w:t>
      </w:r>
      <w:r>
        <w:rPr>
          <w:sz w:val="20"/>
        </w:rPr>
        <w:t>and</w:t>
      </w:r>
      <w:r>
        <w:rPr>
          <w:spacing w:val="-10"/>
          <w:sz w:val="20"/>
        </w:rPr>
        <w:t> </w:t>
      </w:r>
      <w:r>
        <w:rPr>
          <w:sz w:val="20"/>
        </w:rPr>
        <w:t>10.</w:t>
      </w:r>
      <w:r>
        <w:rPr>
          <w:spacing w:val="-9"/>
          <w:sz w:val="20"/>
        </w:rPr>
        <w:t> </w:t>
      </w:r>
      <w:r>
        <w:rPr>
          <w:sz w:val="20"/>
        </w:rPr>
        <w:t>It</w:t>
      </w:r>
      <w:r>
        <w:rPr>
          <w:spacing w:val="-10"/>
          <w:sz w:val="20"/>
        </w:rPr>
        <w:t> </w:t>
      </w:r>
      <w:r>
        <w:rPr>
          <w:sz w:val="20"/>
        </w:rPr>
        <w:t>also</w:t>
      </w:r>
      <w:r>
        <w:rPr>
          <w:spacing w:val="-9"/>
          <w:sz w:val="20"/>
        </w:rPr>
        <w:t> </w:t>
      </w:r>
      <w:r>
        <w:rPr>
          <w:sz w:val="20"/>
        </w:rPr>
        <w:t>breaches</w:t>
      </w:r>
      <w:r>
        <w:rPr>
          <w:spacing w:val="-10"/>
          <w:sz w:val="20"/>
        </w:rPr>
        <w:t> </w:t>
      </w:r>
      <w:r>
        <w:rPr>
          <w:sz w:val="20"/>
        </w:rPr>
        <w:t>article</w:t>
      </w:r>
      <w:r>
        <w:rPr>
          <w:spacing w:val="-11"/>
          <w:sz w:val="20"/>
        </w:rPr>
        <w:t> </w:t>
      </w:r>
      <w:r>
        <w:rPr>
          <w:sz w:val="20"/>
        </w:rPr>
        <w:t>12;</w:t>
      </w:r>
      <w:r>
        <w:rPr>
          <w:spacing w:val="-10"/>
          <w:sz w:val="20"/>
        </w:rPr>
        <w:t> </w:t>
      </w:r>
      <w:r>
        <w:rPr>
          <w:sz w:val="20"/>
        </w:rPr>
        <w:t>and</w:t>
      </w:r>
      <w:r>
        <w:rPr>
          <w:spacing w:val="-11"/>
          <w:sz w:val="20"/>
        </w:rPr>
        <w:t> </w:t>
      </w:r>
      <w:r>
        <w:rPr>
          <w:sz w:val="20"/>
        </w:rPr>
        <w:t>the</w:t>
      </w:r>
      <w:r>
        <w:rPr>
          <w:spacing w:val="-10"/>
          <w:sz w:val="20"/>
        </w:rPr>
        <w:t> </w:t>
      </w:r>
      <w:r>
        <w:rPr>
          <w:sz w:val="20"/>
        </w:rPr>
        <w:t>invariable</w:t>
      </w:r>
      <w:r>
        <w:rPr>
          <w:spacing w:val="-9"/>
          <w:sz w:val="20"/>
        </w:rPr>
        <w:t> </w:t>
      </w:r>
      <w:r>
        <w:rPr>
          <w:sz w:val="20"/>
        </w:rPr>
        <w:t>corollary</w:t>
      </w:r>
      <w:r>
        <w:rPr>
          <w:spacing w:val="-10"/>
          <w:sz w:val="20"/>
        </w:rPr>
        <w:t> </w:t>
      </w:r>
      <w:r>
        <w:rPr>
          <w:sz w:val="20"/>
        </w:rPr>
        <w:t>of</w:t>
      </w:r>
      <w:r>
        <w:rPr>
          <w:spacing w:val="-10"/>
          <w:sz w:val="20"/>
        </w:rPr>
        <w:t> </w:t>
      </w:r>
      <w:r>
        <w:rPr>
          <w:sz w:val="20"/>
        </w:rPr>
        <w:t>treatment</w:t>
      </w:r>
      <w:r>
        <w:rPr>
          <w:spacing w:val="-9"/>
          <w:sz w:val="20"/>
        </w:rPr>
        <w:t> </w:t>
      </w:r>
      <w:r>
        <w:rPr>
          <w:sz w:val="20"/>
        </w:rPr>
        <w:t>without consent also breaches articles 12 and 25 (the latter relating to healthcare matters) and may well be torture or inhuman or degrading and so in breach of article 15. See Guidelines, paras 10-12 for these points.</w:t>
      </w:r>
    </w:p>
    <w:p>
      <w:pPr>
        <w:spacing w:line="241" w:lineRule="exact" w:before="1"/>
        <w:ind w:left="120" w:right="0" w:firstLine="0"/>
        <w:jc w:val="left"/>
        <w:rPr>
          <w:sz w:val="20"/>
        </w:rPr>
      </w:pPr>
      <w:bookmarkStart w:name="_bookmark7" w:id="9"/>
      <w:bookmarkEnd w:id="9"/>
      <w:r>
        <w:rPr/>
      </w:r>
      <w:r>
        <w:rPr>
          <w:position w:val="7"/>
          <w:sz w:val="13"/>
        </w:rPr>
        <w:t>8  </w:t>
      </w:r>
      <w:r>
        <w:rPr>
          <w:sz w:val="20"/>
        </w:rPr>
        <w:t>Guidelines, para 14.</w:t>
      </w:r>
    </w:p>
    <w:p>
      <w:pPr>
        <w:spacing w:line="241" w:lineRule="exact" w:before="0"/>
        <w:ind w:left="120" w:right="0" w:firstLine="0"/>
        <w:jc w:val="left"/>
        <w:rPr>
          <w:sz w:val="20"/>
        </w:rPr>
      </w:pPr>
      <w:bookmarkStart w:name="_bookmark8" w:id="10"/>
      <w:bookmarkEnd w:id="10"/>
      <w:r>
        <w:rPr/>
      </w:r>
      <w:r>
        <w:rPr>
          <w:position w:val="7"/>
          <w:sz w:val="13"/>
        </w:rPr>
        <w:t>9  </w:t>
      </w:r>
      <w:r>
        <w:rPr>
          <w:sz w:val="20"/>
        </w:rPr>
        <w:t>Guidelines, para 15. This is noted to be part of article 12 as well.</w:t>
      </w:r>
    </w:p>
    <w:p>
      <w:pPr>
        <w:spacing w:before="0"/>
        <w:ind w:left="285" w:right="117" w:hanging="166"/>
        <w:jc w:val="both"/>
        <w:rPr>
          <w:sz w:val="20"/>
        </w:rPr>
      </w:pPr>
      <w:bookmarkStart w:name="_bookmark9" w:id="11"/>
      <w:bookmarkEnd w:id="11"/>
      <w:r>
        <w:rPr/>
      </w:r>
      <w:r>
        <w:rPr>
          <w:position w:val="7"/>
          <w:sz w:val="13"/>
        </w:rPr>
        <w:t>10 </w:t>
      </w:r>
      <w:r>
        <w:rPr>
          <w:sz w:val="20"/>
        </w:rPr>
        <w:t>Guidelines, para 14. See also para 16, in which the Committee makes clear that it finds problematic declarations as to unfitness to stand trial or of incapacity to be found criminally responsible. Note also para 20, in which it suggests that there should be no use of “security measures” after findings of no responsibility in the ground of insanity. The Committee does not find problematic the idea of diversion from</w:t>
      </w:r>
      <w:r>
        <w:rPr>
          <w:spacing w:val="-8"/>
          <w:sz w:val="20"/>
        </w:rPr>
        <w:t> </w:t>
      </w:r>
      <w:r>
        <w:rPr>
          <w:sz w:val="20"/>
        </w:rPr>
        <w:t>the</w:t>
      </w:r>
      <w:r>
        <w:rPr>
          <w:spacing w:val="-9"/>
          <w:sz w:val="20"/>
        </w:rPr>
        <w:t> </w:t>
      </w:r>
      <w:r>
        <w:rPr>
          <w:sz w:val="20"/>
        </w:rPr>
        <w:t>criminal</w:t>
      </w:r>
      <w:r>
        <w:rPr>
          <w:spacing w:val="-8"/>
          <w:sz w:val="20"/>
        </w:rPr>
        <w:t> </w:t>
      </w:r>
      <w:r>
        <w:rPr>
          <w:sz w:val="20"/>
        </w:rPr>
        <w:t>justice</w:t>
      </w:r>
      <w:r>
        <w:rPr>
          <w:spacing w:val="-8"/>
          <w:sz w:val="20"/>
        </w:rPr>
        <w:t> </w:t>
      </w:r>
      <w:r>
        <w:rPr>
          <w:sz w:val="20"/>
        </w:rPr>
        <w:t>system</w:t>
      </w:r>
      <w:r>
        <w:rPr>
          <w:spacing w:val="-9"/>
          <w:sz w:val="20"/>
        </w:rPr>
        <w:t> </w:t>
      </w:r>
      <w:r>
        <w:rPr>
          <w:sz w:val="20"/>
        </w:rPr>
        <w:t>per</w:t>
      </w:r>
      <w:r>
        <w:rPr>
          <w:spacing w:val="-9"/>
          <w:sz w:val="20"/>
        </w:rPr>
        <w:t> </w:t>
      </w:r>
      <w:r>
        <w:rPr>
          <w:sz w:val="20"/>
        </w:rPr>
        <w:t>se,</w:t>
      </w:r>
      <w:r>
        <w:rPr>
          <w:spacing w:val="-8"/>
          <w:sz w:val="20"/>
        </w:rPr>
        <w:t> </w:t>
      </w:r>
      <w:r>
        <w:rPr>
          <w:sz w:val="20"/>
        </w:rPr>
        <w:t>or</w:t>
      </w:r>
      <w:r>
        <w:rPr>
          <w:spacing w:val="-8"/>
          <w:sz w:val="20"/>
        </w:rPr>
        <w:t> </w:t>
      </w:r>
      <w:r>
        <w:rPr>
          <w:sz w:val="20"/>
        </w:rPr>
        <w:t>the</w:t>
      </w:r>
      <w:r>
        <w:rPr>
          <w:spacing w:val="-9"/>
          <w:sz w:val="20"/>
        </w:rPr>
        <w:t> </w:t>
      </w:r>
      <w:r>
        <w:rPr>
          <w:sz w:val="20"/>
        </w:rPr>
        <w:t>use</w:t>
      </w:r>
      <w:r>
        <w:rPr>
          <w:spacing w:val="-9"/>
          <w:sz w:val="20"/>
        </w:rPr>
        <w:t> </w:t>
      </w:r>
      <w:r>
        <w:rPr>
          <w:sz w:val="20"/>
        </w:rPr>
        <w:t>of</w:t>
      </w:r>
      <w:r>
        <w:rPr>
          <w:spacing w:val="-9"/>
          <w:sz w:val="20"/>
        </w:rPr>
        <w:t> </w:t>
      </w:r>
      <w:r>
        <w:rPr>
          <w:sz w:val="20"/>
        </w:rPr>
        <w:t>such</w:t>
      </w:r>
      <w:r>
        <w:rPr>
          <w:spacing w:val="-9"/>
          <w:sz w:val="20"/>
        </w:rPr>
        <w:t> </w:t>
      </w:r>
      <w:r>
        <w:rPr>
          <w:sz w:val="20"/>
        </w:rPr>
        <w:t>approaches</w:t>
      </w:r>
      <w:r>
        <w:rPr>
          <w:spacing w:val="-8"/>
          <w:sz w:val="20"/>
        </w:rPr>
        <w:t> </w:t>
      </w:r>
      <w:r>
        <w:rPr>
          <w:sz w:val="20"/>
        </w:rPr>
        <w:t>as</w:t>
      </w:r>
      <w:r>
        <w:rPr>
          <w:spacing w:val="-7"/>
          <w:sz w:val="20"/>
        </w:rPr>
        <w:t> </w:t>
      </w:r>
      <w:r>
        <w:rPr>
          <w:sz w:val="20"/>
        </w:rPr>
        <w:t>restorative</w:t>
      </w:r>
      <w:r>
        <w:rPr>
          <w:spacing w:val="-7"/>
          <w:sz w:val="20"/>
        </w:rPr>
        <w:t> </w:t>
      </w:r>
      <w:r>
        <w:rPr>
          <w:sz w:val="20"/>
        </w:rPr>
        <w:t>justice;</w:t>
      </w:r>
      <w:r>
        <w:rPr>
          <w:spacing w:val="-8"/>
          <w:sz w:val="20"/>
        </w:rPr>
        <w:t> </w:t>
      </w:r>
      <w:r>
        <w:rPr>
          <w:sz w:val="20"/>
        </w:rPr>
        <w:t>but</w:t>
      </w:r>
      <w:r>
        <w:rPr>
          <w:spacing w:val="-7"/>
          <w:sz w:val="20"/>
        </w:rPr>
        <w:t> </w:t>
      </w:r>
      <w:r>
        <w:rPr>
          <w:sz w:val="20"/>
        </w:rPr>
        <w:t>it</w:t>
      </w:r>
      <w:r>
        <w:rPr>
          <w:spacing w:val="-7"/>
          <w:sz w:val="20"/>
        </w:rPr>
        <w:t> </w:t>
      </w:r>
      <w:r>
        <w:rPr>
          <w:sz w:val="20"/>
        </w:rPr>
        <w:t>does find it problematic for this to lead to detention under mental health laws and any treatment without consent: see para</w:t>
      </w:r>
      <w:r>
        <w:rPr>
          <w:spacing w:val="-10"/>
          <w:sz w:val="20"/>
        </w:rPr>
        <w:t> </w:t>
      </w:r>
      <w:r>
        <w:rPr>
          <w:sz w:val="20"/>
        </w:rPr>
        <w:t>21.</w:t>
      </w:r>
    </w:p>
    <w:p>
      <w:pPr>
        <w:spacing w:before="0"/>
        <w:ind w:left="290" w:right="116" w:hanging="171"/>
        <w:jc w:val="both"/>
        <w:rPr>
          <w:sz w:val="20"/>
        </w:rPr>
      </w:pPr>
      <w:bookmarkStart w:name="_bookmark10" w:id="12"/>
      <w:bookmarkEnd w:id="12"/>
      <w:r>
        <w:rPr/>
      </w:r>
      <w:r>
        <w:rPr>
          <w:position w:val="7"/>
          <w:sz w:val="13"/>
        </w:rPr>
        <w:t>11 </w:t>
      </w:r>
      <w:r>
        <w:rPr>
          <w:sz w:val="20"/>
        </w:rPr>
        <w:t>Guidelines, para 14, endorsing the “United Nations Basic Principles and Guidelines on Remedies and Procedures on the Right of Anyone Deprived of their Liberty to Bring Proceedings before a Court”, adopted by the Working Group on Arbitrary Detention, [UN Doc A/HRC/30/36] of 29</w:t>
      </w:r>
      <w:r>
        <w:rPr>
          <w:position w:val="7"/>
          <w:sz w:val="13"/>
        </w:rPr>
        <w:t>th </w:t>
      </w:r>
      <w:r>
        <w:rPr>
          <w:sz w:val="20"/>
        </w:rPr>
        <w:t>April 2015, at para 126. This refers to such matters as supported decision-making, the need for accessible buildings and</w:t>
      </w:r>
      <w:r>
        <w:rPr>
          <w:spacing w:val="-7"/>
          <w:sz w:val="20"/>
        </w:rPr>
        <w:t> </w:t>
      </w:r>
      <w:r>
        <w:rPr>
          <w:sz w:val="20"/>
        </w:rPr>
        <w:t>information,</w:t>
      </w:r>
      <w:r>
        <w:rPr>
          <w:spacing w:val="-6"/>
          <w:sz w:val="20"/>
        </w:rPr>
        <w:t> </w:t>
      </w:r>
      <w:r>
        <w:rPr>
          <w:sz w:val="20"/>
        </w:rPr>
        <w:t>deinstitutionalisation</w:t>
      </w:r>
      <w:r>
        <w:rPr>
          <w:spacing w:val="-7"/>
          <w:sz w:val="20"/>
        </w:rPr>
        <w:t> </w:t>
      </w:r>
      <w:r>
        <w:rPr>
          <w:sz w:val="20"/>
        </w:rPr>
        <w:t>and</w:t>
      </w:r>
      <w:r>
        <w:rPr>
          <w:spacing w:val="-7"/>
          <w:sz w:val="20"/>
        </w:rPr>
        <w:t> </w:t>
      </w:r>
      <w:r>
        <w:rPr>
          <w:sz w:val="20"/>
        </w:rPr>
        <w:t>independent</w:t>
      </w:r>
      <w:r>
        <w:rPr>
          <w:spacing w:val="-7"/>
          <w:sz w:val="20"/>
        </w:rPr>
        <w:t> </w:t>
      </w:r>
      <w:r>
        <w:rPr>
          <w:sz w:val="20"/>
        </w:rPr>
        <w:t>living,</w:t>
      </w:r>
      <w:r>
        <w:rPr>
          <w:spacing w:val="-7"/>
          <w:sz w:val="20"/>
        </w:rPr>
        <w:t> </w:t>
      </w:r>
      <w:r>
        <w:rPr>
          <w:sz w:val="20"/>
        </w:rPr>
        <w:t>and</w:t>
      </w:r>
      <w:r>
        <w:rPr>
          <w:spacing w:val="-7"/>
          <w:sz w:val="20"/>
        </w:rPr>
        <w:t> </w:t>
      </w:r>
      <w:r>
        <w:rPr>
          <w:sz w:val="20"/>
        </w:rPr>
        <w:t>remedies</w:t>
      </w:r>
      <w:r>
        <w:rPr>
          <w:spacing w:val="-6"/>
          <w:sz w:val="20"/>
        </w:rPr>
        <w:t> </w:t>
      </w:r>
      <w:r>
        <w:rPr>
          <w:sz w:val="20"/>
        </w:rPr>
        <w:t>for</w:t>
      </w:r>
      <w:r>
        <w:rPr>
          <w:spacing w:val="-7"/>
          <w:sz w:val="20"/>
        </w:rPr>
        <w:t> </w:t>
      </w:r>
      <w:r>
        <w:rPr>
          <w:sz w:val="20"/>
        </w:rPr>
        <w:t>any</w:t>
      </w:r>
      <w:r>
        <w:rPr>
          <w:spacing w:val="-7"/>
          <w:sz w:val="20"/>
        </w:rPr>
        <w:t> </w:t>
      </w:r>
      <w:r>
        <w:rPr>
          <w:sz w:val="20"/>
        </w:rPr>
        <w:t>breaches</w:t>
      </w:r>
      <w:r>
        <w:rPr>
          <w:spacing w:val="-7"/>
          <w:sz w:val="20"/>
        </w:rPr>
        <w:t> </w:t>
      </w:r>
      <w:r>
        <w:rPr>
          <w:sz w:val="20"/>
        </w:rPr>
        <w:t>of</w:t>
      </w:r>
      <w:r>
        <w:rPr>
          <w:spacing w:val="-7"/>
          <w:sz w:val="20"/>
        </w:rPr>
        <w:t> </w:t>
      </w:r>
      <w:r>
        <w:rPr>
          <w:sz w:val="20"/>
        </w:rPr>
        <w:t>rights. These</w:t>
      </w:r>
      <w:r>
        <w:rPr>
          <w:spacing w:val="-5"/>
          <w:sz w:val="20"/>
        </w:rPr>
        <w:t> </w:t>
      </w:r>
      <w:r>
        <w:rPr>
          <w:sz w:val="20"/>
        </w:rPr>
        <w:t>are</w:t>
      </w:r>
      <w:r>
        <w:rPr>
          <w:spacing w:val="-6"/>
          <w:sz w:val="20"/>
        </w:rPr>
        <w:t> </w:t>
      </w:r>
      <w:r>
        <w:rPr>
          <w:sz w:val="20"/>
        </w:rPr>
        <w:t>all</w:t>
      </w:r>
      <w:r>
        <w:rPr>
          <w:spacing w:val="-6"/>
          <w:sz w:val="20"/>
        </w:rPr>
        <w:t> </w:t>
      </w:r>
      <w:r>
        <w:rPr>
          <w:sz w:val="20"/>
        </w:rPr>
        <w:t>consistent</w:t>
      </w:r>
      <w:r>
        <w:rPr>
          <w:spacing w:val="-5"/>
          <w:sz w:val="20"/>
        </w:rPr>
        <w:t> </w:t>
      </w:r>
      <w:r>
        <w:rPr>
          <w:sz w:val="20"/>
        </w:rPr>
        <w:t>with</w:t>
      </w:r>
      <w:r>
        <w:rPr>
          <w:spacing w:val="-5"/>
          <w:sz w:val="20"/>
        </w:rPr>
        <w:t> </w:t>
      </w:r>
      <w:r>
        <w:rPr>
          <w:sz w:val="20"/>
        </w:rPr>
        <w:t>the</w:t>
      </w:r>
      <w:r>
        <w:rPr>
          <w:spacing w:val="-5"/>
          <w:sz w:val="20"/>
        </w:rPr>
        <w:t> </w:t>
      </w:r>
      <w:r>
        <w:rPr>
          <w:sz w:val="20"/>
        </w:rPr>
        <w:t>requirements</w:t>
      </w:r>
      <w:r>
        <w:rPr>
          <w:spacing w:val="-6"/>
          <w:sz w:val="20"/>
        </w:rPr>
        <w:t> </w:t>
      </w:r>
      <w:r>
        <w:rPr>
          <w:sz w:val="20"/>
        </w:rPr>
        <w:t>of</w:t>
      </w:r>
      <w:r>
        <w:rPr>
          <w:spacing w:val="-5"/>
          <w:sz w:val="20"/>
        </w:rPr>
        <w:t> </w:t>
      </w:r>
      <w:r>
        <w:rPr>
          <w:sz w:val="20"/>
        </w:rPr>
        <w:t>articles</w:t>
      </w:r>
      <w:r>
        <w:rPr>
          <w:spacing w:val="-4"/>
          <w:sz w:val="20"/>
        </w:rPr>
        <w:t> </w:t>
      </w:r>
      <w:r>
        <w:rPr>
          <w:sz w:val="20"/>
        </w:rPr>
        <w:t>9</w:t>
      </w:r>
      <w:r>
        <w:rPr>
          <w:spacing w:val="-5"/>
          <w:sz w:val="20"/>
        </w:rPr>
        <w:t> </w:t>
      </w:r>
      <w:r>
        <w:rPr>
          <w:sz w:val="20"/>
        </w:rPr>
        <w:t>and</w:t>
      </w:r>
      <w:r>
        <w:rPr>
          <w:spacing w:val="-5"/>
          <w:sz w:val="20"/>
        </w:rPr>
        <w:t> </w:t>
      </w:r>
      <w:r>
        <w:rPr>
          <w:sz w:val="20"/>
        </w:rPr>
        <w:t>19</w:t>
      </w:r>
      <w:r>
        <w:rPr>
          <w:spacing w:val="-6"/>
          <w:sz w:val="20"/>
        </w:rPr>
        <w:t> </w:t>
      </w:r>
      <w:r>
        <w:rPr>
          <w:sz w:val="20"/>
        </w:rPr>
        <w:t>of</w:t>
      </w:r>
      <w:r>
        <w:rPr>
          <w:spacing w:val="-5"/>
          <w:sz w:val="20"/>
        </w:rPr>
        <w:t> </w:t>
      </w:r>
      <w:r>
        <w:rPr>
          <w:sz w:val="20"/>
        </w:rPr>
        <w:t>the</w:t>
      </w:r>
      <w:r>
        <w:rPr>
          <w:spacing w:val="-5"/>
          <w:sz w:val="20"/>
        </w:rPr>
        <w:t> </w:t>
      </w:r>
      <w:r>
        <w:rPr>
          <w:sz w:val="20"/>
        </w:rPr>
        <w:t>CRPD</w:t>
      </w:r>
      <w:r>
        <w:rPr>
          <w:spacing w:val="-5"/>
          <w:sz w:val="20"/>
        </w:rPr>
        <w:t> </w:t>
      </w:r>
      <w:r>
        <w:rPr>
          <w:sz w:val="20"/>
        </w:rPr>
        <w:t>(relating</w:t>
      </w:r>
      <w:r>
        <w:rPr>
          <w:spacing w:val="-5"/>
          <w:sz w:val="20"/>
        </w:rPr>
        <w:t> </w:t>
      </w:r>
      <w:r>
        <w:rPr>
          <w:sz w:val="20"/>
        </w:rPr>
        <w:t>to</w:t>
      </w:r>
      <w:r>
        <w:rPr>
          <w:spacing w:val="-6"/>
          <w:sz w:val="20"/>
        </w:rPr>
        <w:t> </w:t>
      </w:r>
      <w:r>
        <w:rPr>
          <w:sz w:val="20"/>
        </w:rPr>
        <w:t>accessibility and community</w:t>
      </w:r>
      <w:r>
        <w:rPr>
          <w:spacing w:val="-12"/>
          <w:sz w:val="20"/>
        </w:rPr>
        <w:t> </w:t>
      </w:r>
      <w:r>
        <w:rPr>
          <w:sz w:val="20"/>
        </w:rPr>
        <w:t>living).</w:t>
      </w:r>
    </w:p>
    <w:p>
      <w:pPr>
        <w:spacing w:after="0"/>
        <w:jc w:val="both"/>
        <w:rPr>
          <w:sz w:val="20"/>
        </w:rPr>
        <w:sectPr>
          <w:pgSz w:w="11910" w:h="16840"/>
          <w:pgMar w:header="763" w:footer="1025" w:top="980" w:bottom="1220" w:left="1220" w:right="1200"/>
        </w:sectPr>
      </w:pPr>
    </w:p>
    <w:p>
      <w:pPr>
        <w:pStyle w:val="BodyText"/>
        <w:spacing w:before="4"/>
        <w:rPr>
          <w:sz w:val="21"/>
        </w:rPr>
      </w:pPr>
    </w:p>
    <w:p>
      <w:pPr>
        <w:pStyle w:val="BodyText"/>
        <w:spacing w:before="100"/>
        <w:ind w:left="120" w:right="228"/>
        <w:jc w:val="both"/>
      </w:pPr>
      <w:r>
        <w:rPr/>
        <w:t>idea, commenting that it could not be consistent with human rights principles to allow a trial of someone lacking any insight into the allegation against them or ability to instruct</w:t>
      </w:r>
      <w:r>
        <w:rPr>
          <w:spacing w:val="-11"/>
        </w:rPr>
        <w:t> </w:t>
      </w:r>
      <w:r>
        <w:rPr/>
        <w:t>their</w:t>
      </w:r>
      <w:r>
        <w:rPr>
          <w:spacing w:val="-10"/>
        </w:rPr>
        <w:t> </w:t>
      </w:r>
      <w:r>
        <w:rPr/>
        <w:t>legal</w:t>
      </w:r>
      <w:r>
        <w:rPr>
          <w:spacing w:val="-10"/>
        </w:rPr>
        <w:t> </w:t>
      </w:r>
      <w:r>
        <w:rPr/>
        <w:t>team.</w:t>
      </w:r>
      <w:hyperlink w:history="true" w:anchor="_bookmark11">
        <w:r>
          <w:rPr>
            <w:position w:val="8"/>
            <w:sz w:val="16"/>
          </w:rPr>
          <w:t>12</w:t>
        </w:r>
        <w:r>
          <w:rPr>
            <w:spacing w:val="-7"/>
            <w:position w:val="8"/>
            <w:sz w:val="16"/>
          </w:rPr>
          <w:t> </w:t>
        </w:r>
      </w:hyperlink>
      <w:r>
        <w:rPr/>
        <w:t>Unfortunately,</w:t>
      </w:r>
      <w:r>
        <w:rPr>
          <w:spacing w:val="-11"/>
        </w:rPr>
        <w:t> </w:t>
      </w:r>
      <w:r>
        <w:rPr/>
        <w:t>the</w:t>
      </w:r>
      <w:r>
        <w:rPr>
          <w:spacing w:val="-12"/>
        </w:rPr>
        <w:t> </w:t>
      </w:r>
      <w:r>
        <w:rPr/>
        <w:t>Latham</w:t>
      </w:r>
      <w:r>
        <w:rPr>
          <w:spacing w:val="-11"/>
        </w:rPr>
        <w:t> </w:t>
      </w:r>
      <w:r>
        <w:rPr/>
        <w:t>Committee</w:t>
      </w:r>
      <w:r>
        <w:rPr>
          <w:spacing w:val="-11"/>
        </w:rPr>
        <w:t> </w:t>
      </w:r>
      <w:r>
        <w:rPr/>
        <w:t>does</w:t>
      </w:r>
      <w:r>
        <w:rPr>
          <w:spacing w:val="-11"/>
        </w:rPr>
        <w:t> </w:t>
      </w:r>
      <w:r>
        <w:rPr/>
        <w:t>not</w:t>
      </w:r>
      <w:r>
        <w:rPr>
          <w:spacing w:val="-11"/>
        </w:rPr>
        <w:t> </w:t>
      </w:r>
      <w:r>
        <w:rPr/>
        <w:t>engage</w:t>
      </w:r>
      <w:r>
        <w:rPr>
          <w:spacing w:val="-11"/>
        </w:rPr>
        <w:t> </w:t>
      </w:r>
      <w:r>
        <w:rPr/>
        <w:t>with the</w:t>
      </w:r>
      <w:r>
        <w:rPr>
          <w:spacing w:val="-19"/>
        </w:rPr>
        <w:t> </w:t>
      </w:r>
      <w:r>
        <w:rPr/>
        <w:t>CRPD</w:t>
      </w:r>
      <w:r>
        <w:rPr>
          <w:spacing w:val="-18"/>
        </w:rPr>
        <w:t> </w:t>
      </w:r>
      <w:r>
        <w:rPr/>
        <w:t>Committee’s</w:t>
      </w:r>
      <w:r>
        <w:rPr>
          <w:spacing w:val="-20"/>
        </w:rPr>
        <w:t> </w:t>
      </w:r>
      <w:r>
        <w:rPr/>
        <w:t>Guidelines</w:t>
      </w:r>
      <w:r>
        <w:rPr>
          <w:spacing w:val="-20"/>
        </w:rPr>
        <w:t> </w:t>
      </w:r>
      <w:r>
        <w:rPr/>
        <w:t>document</w:t>
      </w:r>
      <w:r>
        <w:rPr>
          <w:spacing w:val="-19"/>
        </w:rPr>
        <w:t> </w:t>
      </w:r>
      <w:r>
        <w:rPr/>
        <w:t>summarised</w:t>
      </w:r>
      <w:r>
        <w:rPr>
          <w:spacing w:val="-19"/>
        </w:rPr>
        <w:t> </w:t>
      </w:r>
      <w:r>
        <w:rPr/>
        <w:t>above:</w:t>
      </w:r>
      <w:r>
        <w:rPr>
          <w:spacing w:val="-19"/>
        </w:rPr>
        <w:t> </w:t>
      </w:r>
      <w:r>
        <w:rPr/>
        <w:t>instead,</w:t>
      </w:r>
      <w:r>
        <w:rPr>
          <w:spacing w:val="-18"/>
        </w:rPr>
        <w:t> </w:t>
      </w:r>
      <w:r>
        <w:rPr/>
        <w:t>they</w:t>
      </w:r>
      <w:r>
        <w:rPr>
          <w:spacing w:val="-19"/>
        </w:rPr>
        <w:t> </w:t>
      </w:r>
      <w:r>
        <w:rPr/>
        <w:t>deal</w:t>
      </w:r>
      <w:r>
        <w:rPr>
          <w:spacing w:val="-18"/>
        </w:rPr>
        <w:t> </w:t>
      </w:r>
      <w:r>
        <w:rPr/>
        <w:t>with the CRPD Committee’s General Comment No 1 on the implications of article 12 of the CPRD and the need for supported decision-making.</w:t>
      </w:r>
      <w:hyperlink w:history="true" w:anchor="_bookmark12">
        <w:r>
          <w:rPr>
            <w:position w:val="8"/>
            <w:sz w:val="16"/>
          </w:rPr>
          <w:t>13 </w:t>
        </w:r>
      </w:hyperlink>
      <w:r>
        <w:rPr/>
        <w:t>However, there is also reference made to documentation prepared for a meeting under the auspices of the High Commissioner</w:t>
      </w:r>
      <w:r>
        <w:rPr>
          <w:spacing w:val="-5"/>
        </w:rPr>
        <w:t> </w:t>
      </w:r>
      <w:r>
        <w:rPr/>
        <w:t>for</w:t>
      </w:r>
      <w:r>
        <w:rPr>
          <w:spacing w:val="-6"/>
        </w:rPr>
        <w:t> </w:t>
      </w:r>
      <w:r>
        <w:rPr/>
        <w:t>Human</w:t>
      </w:r>
      <w:r>
        <w:rPr>
          <w:spacing w:val="-6"/>
        </w:rPr>
        <w:t> </w:t>
      </w:r>
      <w:r>
        <w:rPr/>
        <w:t>Rights</w:t>
      </w:r>
      <w:r>
        <w:rPr>
          <w:spacing w:val="-7"/>
        </w:rPr>
        <w:t> </w:t>
      </w:r>
      <w:r>
        <w:rPr/>
        <w:t>in</w:t>
      </w:r>
      <w:r>
        <w:rPr>
          <w:spacing w:val="-6"/>
        </w:rPr>
        <w:t> </w:t>
      </w:r>
      <w:r>
        <w:rPr/>
        <w:t>September</w:t>
      </w:r>
      <w:r>
        <w:rPr>
          <w:spacing w:val="-5"/>
        </w:rPr>
        <w:t> </w:t>
      </w:r>
      <w:r>
        <w:rPr/>
        <w:t>2015,</w:t>
      </w:r>
      <w:r>
        <w:rPr>
          <w:spacing w:val="-7"/>
        </w:rPr>
        <w:t> </w:t>
      </w:r>
      <w:r>
        <w:rPr/>
        <w:t>which</w:t>
      </w:r>
      <w:r>
        <w:rPr>
          <w:spacing w:val="-6"/>
        </w:rPr>
        <w:t> </w:t>
      </w:r>
      <w:r>
        <w:rPr/>
        <w:t>noted</w:t>
      </w:r>
      <w:r>
        <w:rPr>
          <w:spacing w:val="-6"/>
        </w:rPr>
        <w:t> </w:t>
      </w:r>
      <w:r>
        <w:rPr/>
        <w:t>that</w:t>
      </w:r>
      <w:r>
        <w:rPr>
          <w:spacing w:val="-6"/>
        </w:rPr>
        <w:t> </w:t>
      </w:r>
      <w:r>
        <w:rPr/>
        <w:t>it</w:t>
      </w:r>
      <w:r>
        <w:rPr>
          <w:spacing w:val="-6"/>
        </w:rPr>
        <w:t> </w:t>
      </w:r>
      <w:r>
        <w:rPr/>
        <w:t>was</w:t>
      </w:r>
      <w:r>
        <w:rPr>
          <w:spacing w:val="-4"/>
        </w:rPr>
        <w:t> </w:t>
      </w:r>
      <w:r>
        <w:rPr/>
        <w:t>identified that fitness to stand trial procedures should be abolished;</w:t>
      </w:r>
      <w:hyperlink w:history="true" w:anchor="_bookmark13">
        <w:r>
          <w:rPr>
            <w:position w:val="8"/>
            <w:sz w:val="16"/>
          </w:rPr>
          <w:t>14 </w:t>
        </w:r>
      </w:hyperlink>
      <w:r>
        <w:rPr/>
        <w:t>accordingly, the Latham Committee’s</w:t>
      </w:r>
      <w:r>
        <w:rPr>
          <w:spacing w:val="-12"/>
        </w:rPr>
        <w:t> </w:t>
      </w:r>
      <w:r>
        <w:rPr/>
        <w:t>view</w:t>
      </w:r>
      <w:r>
        <w:rPr>
          <w:spacing w:val="-12"/>
        </w:rPr>
        <w:t> </w:t>
      </w:r>
      <w:r>
        <w:rPr/>
        <w:t>as</w:t>
      </w:r>
      <w:r>
        <w:rPr>
          <w:spacing w:val="-13"/>
        </w:rPr>
        <w:t> </w:t>
      </w:r>
      <w:r>
        <w:rPr/>
        <w:t>to</w:t>
      </w:r>
      <w:r>
        <w:rPr>
          <w:spacing w:val="-11"/>
        </w:rPr>
        <w:t> </w:t>
      </w:r>
      <w:r>
        <w:rPr/>
        <w:t>the</w:t>
      </w:r>
      <w:r>
        <w:rPr>
          <w:spacing w:val="-13"/>
        </w:rPr>
        <w:t> </w:t>
      </w:r>
      <w:r>
        <w:rPr/>
        <w:t>impropriety</w:t>
      </w:r>
      <w:r>
        <w:rPr>
          <w:spacing w:val="-12"/>
        </w:rPr>
        <w:t> </w:t>
      </w:r>
      <w:r>
        <w:rPr/>
        <w:t>of</w:t>
      </w:r>
      <w:r>
        <w:rPr>
          <w:spacing w:val="-12"/>
        </w:rPr>
        <w:t> </w:t>
      </w:r>
      <w:r>
        <w:rPr/>
        <w:t>the</w:t>
      </w:r>
      <w:r>
        <w:rPr>
          <w:spacing w:val="-12"/>
        </w:rPr>
        <w:t> </w:t>
      </w:r>
      <w:r>
        <w:rPr/>
        <w:t>CRPD</w:t>
      </w:r>
      <w:r>
        <w:rPr>
          <w:spacing w:val="-11"/>
        </w:rPr>
        <w:t> </w:t>
      </w:r>
      <w:r>
        <w:rPr/>
        <w:t>Committee’s</w:t>
      </w:r>
      <w:r>
        <w:rPr>
          <w:spacing w:val="-12"/>
        </w:rPr>
        <w:t> </w:t>
      </w:r>
      <w:r>
        <w:rPr/>
        <w:t>views</w:t>
      </w:r>
      <w:r>
        <w:rPr>
          <w:spacing w:val="-12"/>
        </w:rPr>
        <w:t> </w:t>
      </w:r>
      <w:r>
        <w:rPr/>
        <w:t>would</w:t>
      </w:r>
      <w:r>
        <w:rPr>
          <w:spacing w:val="-12"/>
        </w:rPr>
        <w:t> </w:t>
      </w:r>
      <w:r>
        <w:rPr/>
        <w:t>probably be the</w:t>
      </w:r>
      <w:r>
        <w:rPr>
          <w:spacing w:val="-5"/>
        </w:rPr>
        <w:t> </w:t>
      </w:r>
      <w:r>
        <w:rPr/>
        <w:t>same.</w:t>
      </w:r>
    </w:p>
    <w:p>
      <w:pPr>
        <w:pStyle w:val="BodyText"/>
        <w:spacing w:before="11"/>
        <w:rPr>
          <w:sz w:val="23"/>
        </w:rPr>
      </w:pPr>
    </w:p>
    <w:p>
      <w:pPr>
        <w:pStyle w:val="BodyText"/>
        <w:spacing w:before="1"/>
        <w:ind w:left="120" w:right="229"/>
        <w:jc w:val="both"/>
        <w:rPr>
          <w:sz w:val="16"/>
        </w:rPr>
      </w:pPr>
      <w:r>
        <w:rPr/>
        <w:t>The report from the Melbourne Social Equity Institute, at pages 22-26, gives a brief summary of the main principles arising under the CRPD. It suggests, at page 25, that there is ongoing room for debate as to whether they are impermissible or not. The project giving rise to the report also produced several academic articles relating to fitness to plead.</w:t>
      </w:r>
      <w:hyperlink w:history="true" w:anchor="_bookmark14">
        <w:r>
          <w:rPr>
            <w:position w:val="8"/>
            <w:sz w:val="16"/>
          </w:rPr>
          <w:t>15 </w:t>
        </w:r>
      </w:hyperlink>
      <w:r>
        <w:rPr/>
        <w:t>The conclusion of one of these was that the views of the CRPD “set a challenge … to abandon current unfitness to plead law”, and that although such wholesale change was “likely to be the one path that will lead to full respect for the rights” of those affected, incremental change in various areas was the more realistic path.</w:t>
      </w:r>
      <w:hyperlink w:history="true" w:anchor="_bookmark15">
        <w:r>
          <w:rPr>
            <w:position w:val="8"/>
            <w:sz w:val="16"/>
          </w:rPr>
          <w:t>16</w:t>
        </w:r>
      </w:hyperlink>
    </w:p>
    <w:p>
      <w:pPr>
        <w:pStyle w:val="BodyText"/>
      </w:pPr>
    </w:p>
    <w:p>
      <w:pPr>
        <w:pStyle w:val="BodyText"/>
        <w:ind w:left="120"/>
        <w:jc w:val="both"/>
      </w:pPr>
      <w:r>
        <w:rPr/>
        <w:t>This</w:t>
      </w:r>
      <w:r>
        <w:rPr>
          <w:spacing w:val="-21"/>
        </w:rPr>
        <w:t> </w:t>
      </w:r>
      <w:r>
        <w:rPr/>
        <w:t>explains</w:t>
      </w:r>
      <w:r>
        <w:rPr>
          <w:spacing w:val="-20"/>
        </w:rPr>
        <w:t> </w:t>
      </w:r>
      <w:r>
        <w:rPr/>
        <w:t>why</w:t>
      </w:r>
      <w:r>
        <w:rPr>
          <w:spacing w:val="-21"/>
        </w:rPr>
        <w:t> </w:t>
      </w:r>
      <w:r>
        <w:rPr/>
        <w:t>the</w:t>
      </w:r>
      <w:r>
        <w:rPr>
          <w:spacing w:val="-22"/>
        </w:rPr>
        <w:t> </w:t>
      </w:r>
      <w:r>
        <w:rPr/>
        <w:t>second</w:t>
      </w:r>
      <w:r>
        <w:rPr>
          <w:spacing w:val="-21"/>
        </w:rPr>
        <w:t> </w:t>
      </w:r>
      <w:r>
        <w:rPr/>
        <w:t>part</w:t>
      </w:r>
      <w:r>
        <w:rPr>
          <w:spacing w:val="-21"/>
        </w:rPr>
        <w:t> </w:t>
      </w:r>
      <w:r>
        <w:rPr/>
        <w:t>of</w:t>
      </w:r>
      <w:r>
        <w:rPr>
          <w:spacing w:val="-21"/>
        </w:rPr>
        <w:t> </w:t>
      </w:r>
      <w:r>
        <w:rPr/>
        <w:t>the</w:t>
      </w:r>
      <w:r>
        <w:rPr>
          <w:spacing w:val="-21"/>
        </w:rPr>
        <w:t> </w:t>
      </w:r>
      <w:r>
        <w:rPr/>
        <w:t>report</w:t>
      </w:r>
      <w:r>
        <w:rPr>
          <w:spacing w:val="-20"/>
        </w:rPr>
        <w:t> </w:t>
      </w:r>
      <w:r>
        <w:rPr/>
        <w:t>is</w:t>
      </w:r>
      <w:r>
        <w:rPr>
          <w:spacing w:val="-21"/>
        </w:rPr>
        <w:t> </w:t>
      </w:r>
      <w:r>
        <w:rPr/>
        <w:t>headed</w:t>
      </w:r>
      <w:r>
        <w:rPr>
          <w:spacing w:val="-21"/>
        </w:rPr>
        <w:t> </w:t>
      </w:r>
      <w:r>
        <w:rPr/>
        <w:t>“The</w:t>
      </w:r>
      <w:r>
        <w:rPr>
          <w:spacing w:val="-21"/>
        </w:rPr>
        <w:t> </w:t>
      </w:r>
      <w:r>
        <w:rPr/>
        <w:t>Disability</w:t>
      </w:r>
      <w:r>
        <w:rPr>
          <w:spacing w:val="-21"/>
        </w:rPr>
        <w:t> </w:t>
      </w:r>
      <w:r>
        <w:rPr/>
        <w:t>Justice</w:t>
      </w:r>
      <w:r>
        <w:rPr>
          <w:spacing w:val="-20"/>
        </w:rPr>
        <w:t> </w:t>
      </w:r>
      <w:r>
        <w:rPr/>
        <w:t>Support</w:t>
      </w:r>
    </w:p>
    <w:p>
      <w:pPr>
        <w:pStyle w:val="BodyText"/>
        <w:rPr>
          <w:sz w:val="20"/>
        </w:rPr>
      </w:pPr>
    </w:p>
    <w:p>
      <w:pPr>
        <w:pStyle w:val="BodyText"/>
        <w:spacing w:before="4"/>
        <w:rPr>
          <w:sz w:val="12"/>
        </w:rPr>
      </w:pPr>
      <w:r>
        <w:rPr/>
        <w:pict>
          <v:line style="position:absolute;mso-position-horizontal-relative:page;mso-position-vertical-relative:paragraph;z-index:1072;mso-wrap-distance-left:0;mso-wrap-distance-right:0" from="67.019997pt,9.709354pt" to="211.019997pt,9.709354pt" stroked="true" strokeweight=".54pt" strokecolor="#000000">
            <v:stroke dashstyle="solid"/>
            <w10:wrap type="topAndBottom"/>
          </v:line>
        </w:pict>
      </w:r>
    </w:p>
    <w:p>
      <w:pPr>
        <w:spacing w:before="65"/>
        <w:ind w:left="288" w:right="118" w:hanging="169"/>
        <w:jc w:val="both"/>
        <w:rPr>
          <w:sz w:val="20"/>
        </w:rPr>
      </w:pPr>
      <w:bookmarkStart w:name="_bookmark11" w:id="13"/>
      <w:bookmarkEnd w:id="13"/>
      <w:r>
        <w:rPr/>
      </w:r>
      <w:r>
        <w:rPr>
          <w:position w:val="7"/>
          <w:sz w:val="13"/>
        </w:rPr>
        <w:t>12 </w:t>
      </w:r>
      <w:r>
        <w:rPr>
          <w:sz w:val="20"/>
        </w:rPr>
        <w:t>They point out that the Law Commission of England and Wales also reached the conclusion that it was necessary</w:t>
      </w:r>
      <w:r>
        <w:rPr>
          <w:spacing w:val="-9"/>
          <w:sz w:val="20"/>
        </w:rPr>
        <w:t> </w:t>
      </w:r>
      <w:r>
        <w:rPr>
          <w:sz w:val="20"/>
        </w:rPr>
        <w:t>to</w:t>
      </w:r>
      <w:r>
        <w:rPr>
          <w:spacing w:val="-8"/>
          <w:sz w:val="20"/>
        </w:rPr>
        <w:t> </w:t>
      </w:r>
      <w:r>
        <w:rPr>
          <w:sz w:val="20"/>
        </w:rPr>
        <w:t>reform</w:t>
      </w:r>
      <w:r>
        <w:rPr>
          <w:spacing w:val="-8"/>
          <w:sz w:val="20"/>
        </w:rPr>
        <w:t> </w:t>
      </w:r>
      <w:r>
        <w:rPr>
          <w:sz w:val="20"/>
        </w:rPr>
        <w:t>rather</w:t>
      </w:r>
      <w:r>
        <w:rPr>
          <w:spacing w:val="-9"/>
          <w:sz w:val="20"/>
        </w:rPr>
        <w:t> </w:t>
      </w:r>
      <w:r>
        <w:rPr>
          <w:sz w:val="20"/>
        </w:rPr>
        <w:t>than</w:t>
      </w:r>
      <w:r>
        <w:rPr>
          <w:spacing w:val="-8"/>
          <w:sz w:val="20"/>
        </w:rPr>
        <w:t> </w:t>
      </w:r>
      <w:r>
        <w:rPr>
          <w:sz w:val="20"/>
        </w:rPr>
        <w:t>abolish</w:t>
      </w:r>
      <w:r>
        <w:rPr>
          <w:spacing w:val="-9"/>
          <w:sz w:val="20"/>
        </w:rPr>
        <w:t> </w:t>
      </w:r>
      <w:r>
        <w:rPr>
          <w:sz w:val="20"/>
        </w:rPr>
        <w:t>the</w:t>
      </w:r>
      <w:r>
        <w:rPr>
          <w:spacing w:val="-8"/>
          <w:sz w:val="20"/>
        </w:rPr>
        <w:t> </w:t>
      </w:r>
      <w:r>
        <w:rPr>
          <w:sz w:val="20"/>
        </w:rPr>
        <w:t>unfitness</w:t>
      </w:r>
      <w:r>
        <w:rPr>
          <w:spacing w:val="-8"/>
          <w:sz w:val="20"/>
        </w:rPr>
        <w:t> </w:t>
      </w:r>
      <w:r>
        <w:rPr>
          <w:sz w:val="20"/>
        </w:rPr>
        <w:t>to</w:t>
      </w:r>
      <w:r>
        <w:rPr>
          <w:spacing w:val="-8"/>
          <w:sz w:val="20"/>
        </w:rPr>
        <w:t> </w:t>
      </w:r>
      <w:r>
        <w:rPr>
          <w:sz w:val="20"/>
        </w:rPr>
        <w:t>stand</w:t>
      </w:r>
      <w:r>
        <w:rPr>
          <w:spacing w:val="-8"/>
          <w:sz w:val="20"/>
        </w:rPr>
        <w:t> </w:t>
      </w:r>
      <w:r>
        <w:rPr>
          <w:sz w:val="20"/>
        </w:rPr>
        <w:t>trial</w:t>
      </w:r>
      <w:r>
        <w:rPr>
          <w:spacing w:val="-9"/>
          <w:sz w:val="20"/>
        </w:rPr>
        <w:t> </w:t>
      </w:r>
      <w:r>
        <w:rPr>
          <w:sz w:val="20"/>
        </w:rPr>
        <w:t>process:</w:t>
      </w:r>
      <w:r>
        <w:rPr>
          <w:spacing w:val="-8"/>
          <w:sz w:val="20"/>
        </w:rPr>
        <w:t> </w:t>
      </w:r>
      <w:r>
        <w:rPr>
          <w:sz w:val="20"/>
        </w:rPr>
        <w:t>Law</w:t>
      </w:r>
      <w:r>
        <w:rPr>
          <w:spacing w:val="-9"/>
          <w:sz w:val="20"/>
        </w:rPr>
        <w:t> </w:t>
      </w:r>
      <w:r>
        <w:rPr>
          <w:sz w:val="20"/>
        </w:rPr>
        <w:t>Commission,</w:t>
      </w:r>
      <w:r>
        <w:rPr>
          <w:spacing w:val="-8"/>
          <w:sz w:val="20"/>
        </w:rPr>
        <w:t> </w:t>
      </w:r>
      <w:r>
        <w:rPr>
          <w:sz w:val="20"/>
        </w:rPr>
        <w:t>Unfitness</w:t>
      </w:r>
      <w:bookmarkStart w:name="_bookmark12" w:id="14"/>
      <w:bookmarkEnd w:id="14"/>
      <w:r>
        <w:rPr>
          <w:sz w:val="20"/>
        </w:rPr>
      </w:r>
      <w:r>
        <w:rPr>
          <w:sz w:val="20"/>
        </w:rPr>
        <w:t> to Plead (Law Com No 364,</w:t>
      </w:r>
      <w:r>
        <w:rPr>
          <w:spacing w:val="-14"/>
          <w:sz w:val="20"/>
        </w:rPr>
        <w:t> </w:t>
      </w:r>
      <w:r>
        <w:rPr>
          <w:sz w:val="20"/>
        </w:rPr>
        <w:t>2016).</w:t>
      </w:r>
    </w:p>
    <w:p>
      <w:pPr>
        <w:spacing w:before="0"/>
        <w:ind w:left="347" w:right="117" w:hanging="227"/>
        <w:jc w:val="both"/>
        <w:rPr>
          <w:sz w:val="20"/>
        </w:rPr>
      </w:pPr>
      <w:r>
        <w:rPr>
          <w:position w:val="7"/>
          <w:sz w:val="13"/>
        </w:rPr>
        <w:t>13 </w:t>
      </w:r>
      <w:r>
        <w:rPr>
          <w:sz w:val="20"/>
        </w:rPr>
        <w:t>United Nations Committee on the Rights of Persons with Disabilities: General Comment No 1 (2014), Article 12: Equal recognition before the law [UN Doc CRPD/C/GC/1] (19</w:t>
      </w:r>
      <w:r>
        <w:rPr>
          <w:position w:val="7"/>
          <w:sz w:val="13"/>
        </w:rPr>
        <w:t>th </w:t>
      </w:r>
      <w:r>
        <w:rPr>
          <w:sz w:val="20"/>
        </w:rPr>
        <w:t>May 2014).</w:t>
      </w:r>
    </w:p>
    <w:p>
      <w:pPr>
        <w:spacing w:line="243" w:lineRule="exact" w:before="0"/>
        <w:ind w:left="120" w:right="0" w:firstLine="0"/>
        <w:jc w:val="left"/>
        <w:rPr>
          <w:sz w:val="20"/>
        </w:rPr>
      </w:pPr>
      <w:bookmarkStart w:name="_bookmark13" w:id="15"/>
      <w:bookmarkEnd w:id="15"/>
      <w:r>
        <w:rPr/>
      </w:r>
      <w:r>
        <w:rPr>
          <w:position w:val="7"/>
          <w:sz w:val="13"/>
        </w:rPr>
        <w:t>14 </w:t>
      </w:r>
      <w:r>
        <w:rPr>
          <w:sz w:val="20"/>
        </w:rPr>
        <w:t>JUSTICE, </w:t>
      </w:r>
      <w:r>
        <w:rPr>
          <w:i/>
          <w:sz w:val="21"/>
        </w:rPr>
        <w:t>Mental Health and Fair Trial</w:t>
      </w:r>
      <w:r>
        <w:rPr>
          <w:sz w:val="20"/>
        </w:rPr>
        <w:t>, London: Justice, 2017, p 17, text around fn 31, which refers to</w:t>
      </w:r>
    </w:p>
    <w:p>
      <w:pPr>
        <w:spacing w:before="0"/>
        <w:ind w:left="290" w:right="0" w:firstLine="0"/>
        <w:jc w:val="left"/>
        <w:rPr>
          <w:sz w:val="20"/>
        </w:rPr>
      </w:pPr>
      <w:r>
        <w:rPr>
          <w:sz w:val="20"/>
        </w:rPr>
        <w:t>OHCHR, ‘Expert meeting on deprivation of liberty of persons with disabilities: Background note’ (9 September 2015).</w:t>
      </w:r>
    </w:p>
    <w:p>
      <w:pPr>
        <w:spacing w:line="235" w:lineRule="auto" w:before="0"/>
        <w:ind w:left="290" w:right="116" w:hanging="171"/>
        <w:jc w:val="both"/>
        <w:rPr>
          <w:sz w:val="20"/>
        </w:rPr>
      </w:pPr>
      <w:bookmarkStart w:name="_bookmark14" w:id="16"/>
      <w:bookmarkEnd w:id="16"/>
      <w:r>
        <w:rPr/>
      </w:r>
      <w:r>
        <w:rPr>
          <w:position w:val="7"/>
          <w:sz w:val="13"/>
        </w:rPr>
        <w:t>15 </w:t>
      </w:r>
      <w:r>
        <w:rPr>
          <w:sz w:val="20"/>
        </w:rPr>
        <w:t>Arstein-Kerslake, Anna, Piers Gooding, Louis Andrews, Bernadette McSherry, </w:t>
      </w:r>
      <w:r>
        <w:rPr>
          <w:i/>
          <w:sz w:val="21"/>
        </w:rPr>
        <w:t>‘Human Rights and Unfitness</w:t>
      </w:r>
      <w:r>
        <w:rPr>
          <w:i/>
          <w:spacing w:val="-21"/>
          <w:sz w:val="21"/>
        </w:rPr>
        <w:t> </w:t>
      </w:r>
      <w:r>
        <w:rPr>
          <w:i/>
          <w:sz w:val="21"/>
        </w:rPr>
        <w:t>to</w:t>
      </w:r>
      <w:r>
        <w:rPr>
          <w:i/>
          <w:spacing w:val="-22"/>
          <w:sz w:val="21"/>
        </w:rPr>
        <w:t> </w:t>
      </w:r>
      <w:r>
        <w:rPr>
          <w:i/>
          <w:sz w:val="21"/>
        </w:rPr>
        <w:t>Plead:</w:t>
      </w:r>
      <w:r>
        <w:rPr>
          <w:i/>
          <w:spacing w:val="-22"/>
          <w:sz w:val="21"/>
        </w:rPr>
        <w:t> </w:t>
      </w:r>
      <w:r>
        <w:rPr>
          <w:i/>
          <w:sz w:val="21"/>
        </w:rPr>
        <w:t>The</w:t>
      </w:r>
      <w:r>
        <w:rPr>
          <w:i/>
          <w:spacing w:val="-21"/>
          <w:sz w:val="21"/>
        </w:rPr>
        <w:t> </w:t>
      </w:r>
      <w:r>
        <w:rPr>
          <w:i/>
          <w:sz w:val="21"/>
        </w:rPr>
        <w:t>Demands</w:t>
      </w:r>
      <w:r>
        <w:rPr>
          <w:i/>
          <w:spacing w:val="-21"/>
          <w:sz w:val="21"/>
        </w:rPr>
        <w:t> </w:t>
      </w:r>
      <w:r>
        <w:rPr>
          <w:i/>
          <w:sz w:val="21"/>
        </w:rPr>
        <w:t>of</w:t>
      </w:r>
      <w:r>
        <w:rPr>
          <w:i/>
          <w:spacing w:val="-22"/>
          <w:sz w:val="21"/>
        </w:rPr>
        <w:t> </w:t>
      </w:r>
      <w:r>
        <w:rPr>
          <w:i/>
          <w:sz w:val="21"/>
        </w:rPr>
        <w:t>the</w:t>
      </w:r>
      <w:r>
        <w:rPr>
          <w:i/>
          <w:spacing w:val="-21"/>
          <w:sz w:val="21"/>
        </w:rPr>
        <w:t> </w:t>
      </w:r>
      <w:r>
        <w:rPr>
          <w:i/>
          <w:sz w:val="21"/>
        </w:rPr>
        <w:t>Convention</w:t>
      </w:r>
      <w:r>
        <w:rPr>
          <w:i/>
          <w:spacing w:val="-22"/>
          <w:sz w:val="21"/>
        </w:rPr>
        <w:t> </w:t>
      </w:r>
      <w:r>
        <w:rPr>
          <w:i/>
          <w:sz w:val="21"/>
        </w:rPr>
        <w:t>on</w:t>
      </w:r>
      <w:r>
        <w:rPr>
          <w:i/>
          <w:spacing w:val="-21"/>
          <w:sz w:val="21"/>
        </w:rPr>
        <w:t> </w:t>
      </w:r>
      <w:r>
        <w:rPr>
          <w:i/>
          <w:sz w:val="21"/>
        </w:rPr>
        <w:t>the</w:t>
      </w:r>
      <w:r>
        <w:rPr>
          <w:i/>
          <w:spacing w:val="-22"/>
          <w:sz w:val="21"/>
        </w:rPr>
        <w:t> </w:t>
      </w:r>
      <w:r>
        <w:rPr>
          <w:i/>
          <w:sz w:val="21"/>
        </w:rPr>
        <w:t>Rights</w:t>
      </w:r>
      <w:r>
        <w:rPr>
          <w:i/>
          <w:spacing w:val="-21"/>
          <w:sz w:val="21"/>
        </w:rPr>
        <w:t> </w:t>
      </w:r>
      <w:r>
        <w:rPr>
          <w:i/>
          <w:sz w:val="21"/>
        </w:rPr>
        <w:t>of</w:t>
      </w:r>
      <w:r>
        <w:rPr>
          <w:i/>
          <w:spacing w:val="-22"/>
          <w:sz w:val="21"/>
        </w:rPr>
        <w:t> </w:t>
      </w:r>
      <w:r>
        <w:rPr>
          <w:i/>
          <w:sz w:val="21"/>
        </w:rPr>
        <w:t>Persons</w:t>
      </w:r>
      <w:r>
        <w:rPr>
          <w:i/>
          <w:spacing w:val="-21"/>
          <w:sz w:val="21"/>
        </w:rPr>
        <w:t> </w:t>
      </w:r>
      <w:r>
        <w:rPr>
          <w:i/>
          <w:sz w:val="21"/>
        </w:rPr>
        <w:t>with</w:t>
      </w:r>
      <w:r>
        <w:rPr>
          <w:i/>
          <w:spacing w:val="-21"/>
          <w:sz w:val="21"/>
        </w:rPr>
        <w:t> </w:t>
      </w:r>
      <w:r>
        <w:rPr>
          <w:i/>
          <w:sz w:val="21"/>
        </w:rPr>
        <w:t>Disabilities’</w:t>
      </w:r>
      <w:r>
        <w:rPr>
          <w:i/>
          <w:spacing w:val="-21"/>
          <w:sz w:val="21"/>
        </w:rPr>
        <w:t> </w:t>
      </w:r>
      <w:r>
        <w:rPr>
          <w:i/>
          <w:sz w:val="21"/>
        </w:rPr>
        <w:t>(2017) 17 Human Rights Law Review 399 </w:t>
      </w:r>
      <w:r>
        <w:rPr>
          <w:sz w:val="20"/>
        </w:rPr>
        <w:t>is cited for the proposition that there is ongoing debate. Another article</w:t>
      </w:r>
      <w:r>
        <w:rPr>
          <w:spacing w:val="-13"/>
          <w:sz w:val="20"/>
        </w:rPr>
        <w:t> </w:t>
      </w:r>
      <w:r>
        <w:rPr>
          <w:sz w:val="20"/>
        </w:rPr>
        <w:t>that</w:t>
      </w:r>
      <w:r>
        <w:rPr>
          <w:spacing w:val="-13"/>
          <w:sz w:val="20"/>
        </w:rPr>
        <w:t> </w:t>
      </w:r>
      <w:r>
        <w:rPr>
          <w:sz w:val="20"/>
        </w:rPr>
        <w:t>focuses</w:t>
      </w:r>
      <w:r>
        <w:rPr>
          <w:spacing w:val="-12"/>
          <w:sz w:val="20"/>
        </w:rPr>
        <w:t> </w:t>
      </w:r>
      <w:r>
        <w:rPr>
          <w:sz w:val="20"/>
        </w:rPr>
        <w:t>on</w:t>
      </w:r>
      <w:r>
        <w:rPr>
          <w:spacing w:val="-12"/>
          <w:sz w:val="20"/>
        </w:rPr>
        <w:t> </w:t>
      </w:r>
      <w:r>
        <w:rPr>
          <w:sz w:val="20"/>
        </w:rPr>
        <w:t>Australia</w:t>
      </w:r>
      <w:r>
        <w:rPr>
          <w:spacing w:val="-11"/>
          <w:sz w:val="20"/>
        </w:rPr>
        <w:t> </w:t>
      </w:r>
      <w:r>
        <w:rPr>
          <w:sz w:val="20"/>
        </w:rPr>
        <w:t>is</w:t>
      </w:r>
      <w:r>
        <w:rPr>
          <w:spacing w:val="-11"/>
          <w:sz w:val="20"/>
        </w:rPr>
        <w:t> </w:t>
      </w:r>
      <w:r>
        <w:rPr>
          <w:sz w:val="20"/>
        </w:rPr>
        <w:t>Gooding,</w:t>
      </w:r>
      <w:r>
        <w:rPr>
          <w:spacing w:val="-11"/>
          <w:sz w:val="20"/>
        </w:rPr>
        <w:t> </w:t>
      </w:r>
      <w:r>
        <w:rPr>
          <w:sz w:val="20"/>
        </w:rPr>
        <w:t>Piers,</w:t>
      </w:r>
      <w:r>
        <w:rPr>
          <w:spacing w:val="-13"/>
          <w:sz w:val="20"/>
        </w:rPr>
        <w:t> </w:t>
      </w:r>
      <w:r>
        <w:rPr>
          <w:sz w:val="20"/>
        </w:rPr>
        <w:t>Anna</w:t>
      </w:r>
      <w:r>
        <w:rPr>
          <w:spacing w:val="-11"/>
          <w:sz w:val="20"/>
        </w:rPr>
        <w:t> </w:t>
      </w:r>
      <w:r>
        <w:rPr>
          <w:sz w:val="20"/>
        </w:rPr>
        <w:t>Arstein-Kerslake,</w:t>
      </w:r>
      <w:r>
        <w:rPr>
          <w:spacing w:val="-13"/>
          <w:sz w:val="20"/>
        </w:rPr>
        <w:t> </w:t>
      </w:r>
      <w:r>
        <w:rPr>
          <w:sz w:val="20"/>
        </w:rPr>
        <w:t>Louis</w:t>
      </w:r>
      <w:r>
        <w:rPr>
          <w:spacing w:val="-11"/>
          <w:sz w:val="20"/>
        </w:rPr>
        <w:t> </w:t>
      </w:r>
      <w:r>
        <w:rPr>
          <w:sz w:val="20"/>
        </w:rPr>
        <w:t>Andrews</w:t>
      </w:r>
      <w:r>
        <w:rPr>
          <w:spacing w:val="-12"/>
          <w:sz w:val="20"/>
        </w:rPr>
        <w:t> </w:t>
      </w:r>
      <w:r>
        <w:rPr>
          <w:sz w:val="20"/>
        </w:rPr>
        <w:t>and</w:t>
      </w:r>
      <w:r>
        <w:rPr>
          <w:spacing w:val="-12"/>
          <w:sz w:val="20"/>
        </w:rPr>
        <w:t> </w:t>
      </w:r>
      <w:r>
        <w:rPr>
          <w:sz w:val="20"/>
        </w:rPr>
        <w:t>Bernadette McSherry, ‘Unfitness to Stand Trial and the Indefinite Detention of People with Cognitive Disabilities in Australia:</w:t>
      </w:r>
      <w:r>
        <w:rPr>
          <w:spacing w:val="-10"/>
          <w:sz w:val="20"/>
        </w:rPr>
        <w:t> </w:t>
      </w:r>
      <w:r>
        <w:rPr>
          <w:sz w:val="20"/>
        </w:rPr>
        <w:t>Human</w:t>
      </w:r>
      <w:r>
        <w:rPr>
          <w:spacing w:val="-9"/>
          <w:sz w:val="20"/>
        </w:rPr>
        <w:t> </w:t>
      </w:r>
      <w:r>
        <w:rPr>
          <w:sz w:val="20"/>
        </w:rPr>
        <w:t>Rights</w:t>
      </w:r>
      <w:r>
        <w:rPr>
          <w:spacing w:val="-10"/>
          <w:sz w:val="20"/>
        </w:rPr>
        <w:t> </w:t>
      </w:r>
      <w:r>
        <w:rPr>
          <w:sz w:val="20"/>
        </w:rPr>
        <w:t>Challenges</w:t>
      </w:r>
      <w:r>
        <w:rPr>
          <w:spacing w:val="-8"/>
          <w:sz w:val="20"/>
        </w:rPr>
        <w:t> </w:t>
      </w:r>
      <w:r>
        <w:rPr>
          <w:sz w:val="20"/>
        </w:rPr>
        <w:t>and</w:t>
      </w:r>
      <w:r>
        <w:rPr>
          <w:spacing w:val="-11"/>
          <w:sz w:val="20"/>
        </w:rPr>
        <w:t> </w:t>
      </w:r>
      <w:r>
        <w:rPr>
          <w:sz w:val="20"/>
        </w:rPr>
        <w:t>Proposals</w:t>
      </w:r>
      <w:r>
        <w:rPr>
          <w:spacing w:val="-8"/>
          <w:sz w:val="20"/>
        </w:rPr>
        <w:t> </w:t>
      </w:r>
      <w:r>
        <w:rPr>
          <w:sz w:val="20"/>
        </w:rPr>
        <w:t>for</w:t>
      </w:r>
      <w:r>
        <w:rPr>
          <w:spacing w:val="-10"/>
          <w:sz w:val="20"/>
        </w:rPr>
        <w:t> </w:t>
      </w:r>
      <w:r>
        <w:rPr>
          <w:sz w:val="20"/>
        </w:rPr>
        <w:t>Change’</w:t>
      </w:r>
      <w:r>
        <w:rPr>
          <w:spacing w:val="-9"/>
          <w:sz w:val="20"/>
        </w:rPr>
        <w:t> </w:t>
      </w:r>
      <w:r>
        <w:rPr>
          <w:sz w:val="20"/>
        </w:rPr>
        <w:t>(2017)</w:t>
      </w:r>
      <w:r>
        <w:rPr>
          <w:spacing w:val="-9"/>
          <w:sz w:val="20"/>
        </w:rPr>
        <w:t> </w:t>
      </w:r>
      <w:r>
        <w:rPr>
          <w:sz w:val="20"/>
        </w:rPr>
        <w:t>40(3)</w:t>
      </w:r>
      <w:r>
        <w:rPr>
          <w:spacing w:val="-10"/>
          <w:sz w:val="20"/>
        </w:rPr>
        <w:t> </w:t>
      </w:r>
      <w:r>
        <w:rPr>
          <w:i/>
          <w:sz w:val="21"/>
        </w:rPr>
        <w:t>Melbourne</w:t>
      </w:r>
      <w:r>
        <w:rPr>
          <w:i/>
          <w:spacing w:val="-13"/>
          <w:sz w:val="21"/>
        </w:rPr>
        <w:t> </w:t>
      </w:r>
      <w:r>
        <w:rPr>
          <w:i/>
          <w:sz w:val="21"/>
        </w:rPr>
        <w:t>University</w:t>
      </w:r>
      <w:r>
        <w:rPr>
          <w:i/>
          <w:spacing w:val="-12"/>
          <w:sz w:val="21"/>
        </w:rPr>
        <w:t> </w:t>
      </w:r>
      <w:r>
        <w:rPr>
          <w:i/>
          <w:sz w:val="21"/>
        </w:rPr>
        <w:t>Law Review </w:t>
      </w:r>
      <w:r>
        <w:rPr>
          <w:sz w:val="20"/>
        </w:rPr>
        <w:t>816. See also Piers Gooding, Anna Arstein-Kerslake, Sarah Mercer and Bernadette McSherry, ‘Supporting Accused Persons with Cognitive Disabilities to Participate in Criminal Proceedings in Australia:</w:t>
      </w:r>
      <w:r>
        <w:rPr>
          <w:spacing w:val="-3"/>
          <w:sz w:val="20"/>
        </w:rPr>
        <w:t> </w:t>
      </w:r>
      <w:r>
        <w:rPr>
          <w:sz w:val="20"/>
        </w:rPr>
        <w:t>Avoiding</w:t>
      </w:r>
      <w:r>
        <w:rPr>
          <w:spacing w:val="-3"/>
          <w:sz w:val="20"/>
        </w:rPr>
        <w:t> </w:t>
      </w:r>
      <w:r>
        <w:rPr>
          <w:sz w:val="20"/>
        </w:rPr>
        <w:t>the</w:t>
      </w:r>
      <w:r>
        <w:rPr>
          <w:spacing w:val="-3"/>
          <w:sz w:val="20"/>
        </w:rPr>
        <w:t> </w:t>
      </w:r>
      <w:r>
        <w:rPr>
          <w:sz w:val="20"/>
        </w:rPr>
        <w:t>Pitfalls</w:t>
      </w:r>
      <w:r>
        <w:rPr>
          <w:spacing w:val="-4"/>
          <w:sz w:val="20"/>
        </w:rPr>
        <w:t> </w:t>
      </w:r>
      <w:r>
        <w:rPr>
          <w:sz w:val="20"/>
        </w:rPr>
        <w:t>of</w:t>
      </w:r>
      <w:r>
        <w:rPr>
          <w:spacing w:val="-4"/>
          <w:sz w:val="20"/>
        </w:rPr>
        <w:t> </w:t>
      </w:r>
      <w:r>
        <w:rPr>
          <w:sz w:val="20"/>
        </w:rPr>
        <w:t>Unfitness</w:t>
      </w:r>
      <w:r>
        <w:rPr>
          <w:spacing w:val="-4"/>
          <w:sz w:val="20"/>
        </w:rPr>
        <w:t> </w:t>
      </w:r>
      <w:r>
        <w:rPr>
          <w:sz w:val="20"/>
        </w:rPr>
        <w:t>to</w:t>
      </w:r>
      <w:r>
        <w:rPr>
          <w:spacing w:val="-4"/>
          <w:sz w:val="20"/>
        </w:rPr>
        <w:t> </w:t>
      </w:r>
      <w:r>
        <w:rPr>
          <w:sz w:val="20"/>
        </w:rPr>
        <w:t>Stand</w:t>
      </w:r>
      <w:r>
        <w:rPr>
          <w:spacing w:val="-5"/>
          <w:sz w:val="20"/>
        </w:rPr>
        <w:t> </w:t>
      </w:r>
      <w:r>
        <w:rPr>
          <w:sz w:val="20"/>
        </w:rPr>
        <w:t>Trial</w:t>
      </w:r>
      <w:r>
        <w:rPr>
          <w:spacing w:val="-3"/>
          <w:sz w:val="20"/>
        </w:rPr>
        <w:t> </w:t>
      </w:r>
      <w:r>
        <w:rPr>
          <w:sz w:val="20"/>
        </w:rPr>
        <w:t>Laws’,</w:t>
      </w:r>
      <w:r>
        <w:rPr>
          <w:spacing w:val="-2"/>
          <w:sz w:val="20"/>
        </w:rPr>
        <w:t> </w:t>
      </w:r>
      <w:r>
        <w:rPr>
          <w:sz w:val="20"/>
        </w:rPr>
        <w:t>(2017)</w:t>
      </w:r>
      <w:r>
        <w:rPr>
          <w:spacing w:val="-3"/>
          <w:sz w:val="20"/>
        </w:rPr>
        <w:t> </w:t>
      </w:r>
      <w:r>
        <w:rPr>
          <w:sz w:val="20"/>
        </w:rPr>
        <w:t>35(2)</w:t>
      </w:r>
      <w:r>
        <w:rPr>
          <w:spacing w:val="-4"/>
          <w:sz w:val="20"/>
        </w:rPr>
        <w:t> </w:t>
      </w:r>
      <w:r>
        <w:rPr>
          <w:i/>
          <w:sz w:val="21"/>
        </w:rPr>
        <w:t>Law</w:t>
      </w:r>
      <w:r>
        <w:rPr>
          <w:i/>
          <w:spacing w:val="-6"/>
          <w:sz w:val="21"/>
        </w:rPr>
        <w:t> </w:t>
      </w:r>
      <w:r>
        <w:rPr>
          <w:i/>
          <w:sz w:val="21"/>
        </w:rPr>
        <w:t>in</w:t>
      </w:r>
      <w:r>
        <w:rPr>
          <w:i/>
          <w:spacing w:val="-6"/>
          <w:sz w:val="21"/>
        </w:rPr>
        <w:t> </w:t>
      </w:r>
      <w:r>
        <w:rPr>
          <w:i/>
          <w:sz w:val="21"/>
        </w:rPr>
        <w:t>Context</w:t>
      </w:r>
      <w:r>
        <w:rPr>
          <w:i/>
          <w:spacing w:val="-7"/>
          <w:sz w:val="21"/>
        </w:rPr>
        <w:t> </w:t>
      </w:r>
      <w:r>
        <w:rPr>
          <w:sz w:val="20"/>
        </w:rPr>
        <w:t>64.</w:t>
      </w:r>
      <w:r>
        <w:rPr>
          <w:spacing w:val="-2"/>
          <w:sz w:val="20"/>
        </w:rPr>
        <w:t> </w:t>
      </w:r>
      <w:r>
        <w:rPr>
          <w:sz w:val="20"/>
        </w:rPr>
        <w:t>For</w:t>
      </w:r>
      <w:r>
        <w:rPr>
          <w:spacing w:val="-4"/>
          <w:sz w:val="20"/>
        </w:rPr>
        <w:t> </w:t>
      </w:r>
      <w:r>
        <w:rPr>
          <w:sz w:val="20"/>
        </w:rPr>
        <w:t>a review of various recent proposals for reforming unfitness to stand trial laws, see Gooding, Piers and O’Mahony, Charles ‘Laws on unfitness to stand trial and the UN Convention on the Rights of Persons with Disabilities: Comparing reform in England, Wales, Northern Ireland and Australia’, (2016) 44 </w:t>
      </w:r>
      <w:r>
        <w:rPr>
          <w:i/>
          <w:sz w:val="21"/>
        </w:rPr>
        <w:t>International</w:t>
      </w:r>
      <w:r>
        <w:rPr>
          <w:i/>
          <w:spacing w:val="-35"/>
          <w:sz w:val="21"/>
        </w:rPr>
        <w:t> </w:t>
      </w:r>
      <w:r>
        <w:rPr>
          <w:i/>
          <w:sz w:val="21"/>
        </w:rPr>
        <w:t>Journal</w:t>
      </w:r>
      <w:r>
        <w:rPr>
          <w:i/>
          <w:spacing w:val="-34"/>
          <w:sz w:val="21"/>
        </w:rPr>
        <w:t> </w:t>
      </w:r>
      <w:r>
        <w:rPr>
          <w:i/>
          <w:sz w:val="21"/>
        </w:rPr>
        <w:t>of</w:t>
      </w:r>
      <w:r>
        <w:rPr>
          <w:i/>
          <w:spacing w:val="-34"/>
          <w:sz w:val="21"/>
        </w:rPr>
        <w:t> </w:t>
      </w:r>
      <w:r>
        <w:rPr>
          <w:i/>
          <w:sz w:val="21"/>
        </w:rPr>
        <w:t>Law,</w:t>
      </w:r>
      <w:r>
        <w:rPr>
          <w:i/>
          <w:spacing w:val="-34"/>
          <w:sz w:val="21"/>
        </w:rPr>
        <w:t> </w:t>
      </w:r>
      <w:r>
        <w:rPr>
          <w:i/>
          <w:sz w:val="21"/>
        </w:rPr>
        <w:t>Crime</w:t>
      </w:r>
      <w:r>
        <w:rPr>
          <w:i/>
          <w:spacing w:val="-34"/>
          <w:sz w:val="21"/>
        </w:rPr>
        <w:t> </w:t>
      </w:r>
      <w:r>
        <w:rPr>
          <w:i/>
          <w:sz w:val="21"/>
        </w:rPr>
        <w:t>and</w:t>
      </w:r>
      <w:r>
        <w:rPr>
          <w:i/>
          <w:spacing w:val="-35"/>
          <w:sz w:val="21"/>
        </w:rPr>
        <w:t> </w:t>
      </w:r>
      <w:r>
        <w:rPr>
          <w:i/>
          <w:sz w:val="21"/>
        </w:rPr>
        <w:t>Justice</w:t>
      </w:r>
      <w:r>
        <w:rPr>
          <w:i/>
          <w:spacing w:val="-34"/>
          <w:sz w:val="21"/>
        </w:rPr>
        <w:t> </w:t>
      </w:r>
      <w:r>
        <w:rPr>
          <w:sz w:val="20"/>
        </w:rPr>
        <w:t>122.</w:t>
      </w:r>
    </w:p>
    <w:p>
      <w:pPr>
        <w:spacing w:line="232" w:lineRule="auto" w:before="0"/>
        <w:ind w:left="347" w:right="116" w:hanging="227"/>
        <w:jc w:val="both"/>
        <w:rPr>
          <w:sz w:val="20"/>
        </w:rPr>
      </w:pPr>
      <w:bookmarkStart w:name="_bookmark15" w:id="17"/>
      <w:bookmarkEnd w:id="17"/>
      <w:r>
        <w:rPr/>
      </w:r>
      <w:r>
        <w:rPr>
          <w:position w:val="7"/>
          <w:sz w:val="13"/>
        </w:rPr>
        <w:t>16 </w:t>
      </w:r>
      <w:r>
        <w:rPr>
          <w:sz w:val="20"/>
        </w:rPr>
        <w:t>Arstein-Kerslake, Anna, Piers Gooding, Louis Andrews, Bernadette McSherry, </w:t>
      </w:r>
      <w:r>
        <w:rPr>
          <w:i/>
          <w:sz w:val="21"/>
        </w:rPr>
        <w:t>‘Human Rights and Unfitness</w:t>
      </w:r>
      <w:r>
        <w:rPr>
          <w:i/>
          <w:spacing w:val="-23"/>
          <w:sz w:val="21"/>
        </w:rPr>
        <w:t> </w:t>
      </w:r>
      <w:r>
        <w:rPr>
          <w:i/>
          <w:sz w:val="21"/>
        </w:rPr>
        <w:t>to</w:t>
      </w:r>
      <w:r>
        <w:rPr>
          <w:i/>
          <w:spacing w:val="-23"/>
          <w:sz w:val="21"/>
        </w:rPr>
        <w:t> </w:t>
      </w:r>
      <w:r>
        <w:rPr>
          <w:i/>
          <w:sz w:val="21"/>
        </w:rPr>
        <w:t>Plead:</w:t>
      </w:r>
      <w:r>
        <w:rPr>
          <w:i/>
          <w:spacing w:val="-24"/>
          <w:sz w:val="21"/>
        </w:rPr>
        <w:t> </w:t>
      </w:r>
      <w:r>
        <w:rPr>
          <w:i/>
          <w:sz w:val="21"/>
        </w:rPr>
        <w:t>The</w:t>
      </w:r>
      <w:r>
        <w:rPr>
          <w:i/>
          <w:spacing w:val="-24"/>
          <w:sz w:val="21"/>
        </w:rPr>
        <w:t> </w:t>
      </w:r>
      <w:r>
        <w:rPr>
          <w:i/>
          <w:sz w:val="21"/>
        </w:rPr>
        <w:t>Demands</w:t>
      </w:r>
      <w:r>
        <w:rPr>
          <w:i/>
          <w:spacing w:val="-23"/>
          <w:sz w:val="21"/>
        </w:rPr>
        <w:t> </w:t>
      </w:r>
      <w:r>
        <w:rPr>
          <w:i/>
          <w:sz w:val="21"/>
        </w:rPr>
        <w:t>of</w:t>
      </w:r>
      <w:r>
        <w:rPr>
          <w:i/>
          <w:spacing w:val="-24"/>
          <w:sz w:val="21"/>
        </w:rPr>
        <w:t> </w:t>
      </w:r>
      <w:r>
        <w:rPr>
          <w:i/>
          <w:sz w:val="21"/>
        </w:rPr>
        <w:t>the</w:t>
      </w:r>
      <w:r>
        <w:rPr>
          <w:i/>
          <w:spacing w:val="-24"/>
          <w:sz w:val="21"/>
        </w:rPr>
        <w:t> </w:t>
      </w:r>
      <w:r>
        <w:rPr>
          <w:i/>
          <w:sz w:val="21"/>
        </w:rPr>
        <w:t>Convention</w:t>
      </w:r>
      <w:r>
        <w:rPr>
          <w:i/>
          <w:spacing w:val="-24"/>
          <w:sz w:val="21"/>
        </w:rPr>
        <w:t> </w:t>
      </w:r>
      <w:r>
        <w:rPr>
          <w:i/>
          <w:sz w:val="21"/>
        </w:rPr>
        <w:t>on</w:t>
      </w:r>
      <w:r>
        <w:rPr>
          <w:i/>
          <w:spacing w:val="-24"/>
          <w:sz w:val="21"/>
        </w:rPr>
        <w:t> </w:t>
      </w:r>
      <w:r>
        <w:rPr>
          <w:i/>
          <w:sz w:val="21"/>
        </w:rPr>
        <w:t>the</w:t>
      </w:r>
      <w:r>
        <w:rPr>
          <w:i/>
          <w:spacing w:val="-23"/>
          <w:sz w:val="21"/>
        </w:rPr>
        <w:t> </w:t>
      </w:r>
      <w:r>
        <w:rPr>
          <w:i/>
          <w:sz w:val="21"/>
        </w:rPr>
        <w:t>Rights</w:t>
      </w:r>
      <w:r>
        <w:rPr>
          <w:i/>
          <w:spacing w:val="-23"/>
          <w:sz w:val="21"/>
        </w:rPr>
        <w:t> </w:t>
      </w:r>
      <w:r>
        <w:rPr>
          <w:i/>
          <w:sz w:val="21"/>
        </w:rPr>
        <w:t>of</w:t>
      </w:r>
      <w:r>
        <w:rPr>
          <w:i/>
          <w:spacing w:val="-24"/>
          <w:sz w:val="21"/>
        </w:rPr>
        <w:t> </w:t>
      </w:r>
      <w:r>
        <w:rPr>
          <w:i/>
          <w:sz w:val="21"/>
        </w:rPr>
        <w:t>Persons</w:t>
      </w:r>
      <w:r>
        <w:rPr>
          <w:i/>
          <w:spacing w:val="-24"/>
          <w:sz w:val="21"/>
        </w:rPr>
        <w:t> </w:t>
      </w:r>
      <w:r>
        <w:rPr>
          <w:i/>
          <w:sz w:val="21"/>
        </w:rPr>
        <w:t>with</w:t>
      </w:r>
      <w:r>
        <w:rPr>
          <w:i/>
          <w:spacing w:val="-24"/>
          <w:sz w:val="21"/>
        </w:rPr>
        <w:t> </w:t>
      </w:r>
      <w:r>
        <w:rPr>
          <w:i/>
          <w:sz w:val="21"/>
        </w:rPr>
        <w:t>Disabilities’</w:t>
      </w:r>
      <w:r>
        <w:rPr>
          <w:i/>
          <w:spacing w:val="-24"/>
          <w:sz w:val="21"/>
        </w:rPr>
        <w:t> </w:t>
      </w:r>
      <w:r>
        <w:rPr>
          <w:sz w:val="20"/>
        </w:rPr>
        <w:t>(2017) 17</w:t>
      </w:r>
      <w:r>
        <w:rPr>
          <w:spacing w:val="-21"/>
          <w:sz w:val="20"/>
        </w:rPr>
        <w:t> </w:t>
      </w:r>
      <w:r>
        <w:rPr>
          <w:i/>
          <w:sz w:val="21"/>
        </w:rPr>
        <w:t>Human</w:t>
      </w:r>
      <w:r>
        <w:rPr>
          <w:i/>
          <w:spacing w:val="-24"/>
          <w:sz w:val="21"/>
        </w:rPr>
        <w:t> </w:t>
      </w:r>
      <w:r>
        <w:rPr>
          <w:i/>
          <w:sz w:val="21"/>
        </w:rPr>
        <w:t>Rights</w:t>
      </w:r>
      <w:r>
        <w:rPr>
          <w:i/>
          <w:spacing w:val="-23"/>
          <w:sz w:val="21"/>
        </w:rPr>
        <w:t> </w:t>
      </w:r>
      <w:r>
        <w:rPr>
          <w:i/>
          <w:sz w:val="21"/>
        </w:rPr>
        <w:t>Law</w:t>
      </w:r>
      <w:r>
        <w:rPr>
          <w:i/>
          <w:spacing w:val="-23"/>
          <w:sz w:val="21"/>
        </w:rPr>
        <w:t> </w:t>
      </w:r>
      <w:r>
        <w:rPr>
          <w:i/>
          <w:sz w:val="21"/>
        </w:rPr>
        <w:t>Review</w:t>
      </w:r>
      <w:r>
        <w:rPr>
          <w:i/>
          <w:spacing w:val="-23"/>
          <w:sz w:val="21"/>
        </w:rPr>
        <w:t> </w:t>
      </w:r>
      <w:r>
        <w:rPr>
          <w:sz w:val="20"/>
        </w:rPr>
        <w:t>399,</w:t>
      </w:r>
      <w:r>
        <w:rPr>
          <w:spacing w:val="-20"/>
          <w:sz w:val="20"/>
        </w:rPr>
        <w:t> </w:t>
      </w:r>
      <w:r>
        <w:rPr>
          <w:sz w:val="20"/>
        </w:rPr>
        <w:t>418.</w:t>
      </w:r>
      <w:r>
        <w:rPr>
          <w:spacing w:val="-21"/>
          <w:sz w:val="20"/>
        </w:rPr>
        <w:t> </w:t>
      </w:r>
      <w:r>
        <w:rPr>
          <w:sz w:val="20"/>
        </w:rPr>
        <w:t>The</w:t>
      </w:r>
      <w:r>
        <w:rPr>
          <w:spacing w:val="-20"/>
          <w:sz w:val="20"/>
        </w:rPr>
        <w:t> </w:t>
      </w:r>
      <w:r>
        <w:rPr>
          <w:sz w:val="20"/>
        </w:rPr>
        <w:t>report</w:t>
      </w:r>
      <w:r>
        <w:rPr>
          <w:spacing w:val="-21"/>
          <w:sz w:val="20"/>
        </w:rPr>
        <w:t> </w:t>
      </w:r>
      <w:r>
        <w:rPr>
          <w:sz w:val="20"/>
        </w:rPr>
        <w:t>also</w:t>
      </w:r>
      <w:r>
        <w:rPr>
          <w:spacing w:val="-20"/>
          <w:sz w:val="20"/>
        </w:rPr>
        <w:t> </w:t>
      </w:r>
      <w:r>
        <w:rPr>
          <w:sz w:val="20"/>
        </w:rPr>
        <w:t>indicates</w:t>
      </w:r>
      <w:r>
        <w:rPr>
          <w:spacing w:val="-20"/>
          <w:sz w:val="20"/>
        </w:rPr>
        <w:t> </w:t>
      </w:r>
      <w:r>
        <w:rPr>
          <w:sz w:val="20"/>
        </w:rPr>
        <w:t>that</w:t>
      </w:r>
      <w:r>
        <w:rPr>
          <w:spacing w:val="-20"/>
          <w:sz w:val="20"/>
        </w:rPr>
        <w:t> </w:t>
      </w:r>
      <w:r>
        <w:rPr>
          <w:sz w:val="20"/>
        </w:rPr>
        <w:t>universal</w:t>
      </w:r>
      <w:r>
        <w:rPr>
          <w:spacing w:val="-21"/>
          <w:sz w:val="20"/>
        </w:rPr>
        <w:t> </w:t>
      </w:r>
      <w:r>
        <w:rPr>
          <w:sz w:val="20"/>
        </w:rPr>
        <w:t>accessibility</w:t>
      </w:r>
      <w:r>
        <w:rPr>
          <w:spacing w:val="-21"/>
          <w:sz w:val="20"/>
        </w:rPr>
        <w:t> </w:t>
      </w:r>
      <w:r>
        <w:rPr>
          <w:sz w:val="20"/>
        </w:rPr>
        <w:t>rather</w:t>
      </w:r>
      <w:r>
        <w:rPr>
          <w:spacing w:val="-21"/>
          <w:sz w:val="20"/>
        </w:rPr>
        <w:t> </w:t>
      </w:r>
      <w:r>
        <w:rPr>
          <w:sz w:val="20"/>
        </w:rPr>
        <w:t>than creating “separate justice procedures” is “the most comprehensive way to comply with human rights law”:</w:t>
      </w:r>
      <w:r>
        <w:rPr>
          <w:spacing w:val="-5"/>
          <w:sz w:val="20"/>
        </w:rPr>
        <w:t> </w:t>
      </w:r>
      <w:r>
        <w:rPr>
          <w:sz w:val="20"/>
        </w:rPr>
        <w:t>McSherry</w:t>
      </w:r>
      <w:r>
        <w:rPr>
          <w:spacing w:val="-6"/>
          <w:sz w:val="20"/>
        </w:rPr>
        <w:t> </w:t>
      </w:r>
      <w:r>
        <w:rPr>
          <w:sz w:val="20"/>
        </w:rPr>
        <w:t>B,</w:t>
      </w:r>
      <w:r>
        <w:rPr>
          <w:spacing w:val="-5"/>
          <w:sz w:val="20"/>
        </w:rPr>
        <w:t> </w:t>
      </w:r>
      <w:r>
        <w:rPr>
          <w:sz w:val="20"/>
        </w:rPr>
        <w:t>Baldry</w:t>
      </w:r>
      <w:r>
        <w:rPr>
          <w:spacing w:val="-6"/>
          <w:sz w:val="20"/>
        </w:rPr>
        <w:t> </w:t>
      </w:r>
      <w:r>
        <w:rPr>
          <w:sz w:val="20"/>
        </w:rPr>
        <w:t>E,</w:t>
      </w:r>
      <w:r>
        <w:rPr>
          <w:spacing w:val="-5"/>
          <w:sz w:val="20"/>
        </w:rPr>
        <w:t> </w:t>
      </w:r>
      <w:r>
        <w:rPr>
          <w:sz w:val="20"/>
        </w:rPr>
        <w:t>Arstein-Kerslake</w:t>
      </w:r>
      <w:r>
        <w:rPr>
          <w:spacing w:val="-5"/>
          <w:sz w:val="20"/>
        </w:rPr>
        <w:t> </w:t>
      </w:r>
      <w:r>
        <w:rPr>
          <w:sz w:val="20"/>
        </w:rPr>
        <w:t>A,</w:t>
      </w:r>
      <w:r>
        <w:rPr>
          <w:spacing w:val="-5"/>
          <w:sz w:val="20"/>
        </w:rPr>
        <w:t> </w:t>
      </w:r>
      <w:r>
        <w:rPr>
          <w:sz w:val="20"/>
        </w:rPr>
        <w:t>Gooding</w:t>
      </w:r>
      <w:r>
        <w:rPr>
          <w:spacing w:val="-6"/>
          <w:sz w:val="20"/>
        </w:rPr>
        <w:t> </w:t>
      </w:r>
      <w:r>
        <w:rPr>
          <w:sz w:val="20"/>
        </w:rPr>
        <w:t>P,</w:t>
      </w:r>
      <w:r>
        <w:rPr>
          <w:spacing w:val="-5"/>
          <w:sz w:val="20"/>
        </w:rPr>
        <w:t> </w:t>
      </w:r>
      <w:r>
        <w:rPr>
          <w:sz w:val="20"/>
        </w:rPr>
        <w:t>McCausland</w:t>
      </w:r>
      <w:r>
        <w:rPr>
          <w:spacing w:val="-6"/>
          <w:sz w:val="20"/>
        </w:rPr>
        <w:t> </w:t>
      </w:r>
      <w:r>
        <w:rPr>
          <w:sz w:val="20"/>
        </w:rPr>
        <w:t>R</w:t>
      </w:r>
      <w:r>
        <w:rPr>
          <w:spacing w:val="-5"/>
          <w:sz w:val="20"/>
        </w:rPr>
        <w:t> </w:t>
      </w:r>
      <w:r>
        <w:rPr>
          <w:sz w:val="20"/>
        </w:rPr>
        <w:t>and</w:t>
      </w:r>
      <w:r>
        <w:rPr>
          <w:spacing w:val="-6"/>
          <w:sz w:val="20"/>
        </w:rPr>
        <w:t> </w:t>
      </w:r>
      <w:r>
        <w:rPr>
          <w:sz w:val="20"/>
        </w:rPr>
        <w:t>Arabena</w:t>
      </w:r>
      <w:r>
        <w:rPr>
          <w:spacing w:val="-5"/>
          <w:sz w:val="20"/>
        </w:rPr>
        <w:t> </w:t>
      </w:r>
      <w:r>
        <w:rPr>
          <w:sz w:val="20"/>
        </w:rPr>
        <w:t>K,</w:t>
      </w:r>
      <w:r>
        <w:rPr>
          <w:spacing w:val="-5"/>
          <w:sz w:val="20"/>
        </w:rPr>
        <w:t> </w:t>
      </w:r>
      <w:r>
        <w:rPr>
          <w:i/>
          <w:sz w:val="21"/>
        </w:rPr>
        <w:t>Unfitness</w:t>
      </w:r>
      <w:r>
        <w:rPr>
          <w:i/>
          <w:spacing w:val="-8"/>
          <w:sz w:val="21"/>
        </w:rPr>
        <w:t> </w:t>
      </w:r>
      <w:r>
        <w:rPr>
          <w:i/>
          <w:sz w:val="21"/>
        </w:rPr>
        <w:t>to Plead and Indefinite Detention of Persons with Cognitive Disabilities</w:t>
      </w:r>
      <w:r>
        <w:rPr>
          <w:sz w:val="20"/>
        </w:rPr>
        <w:t>, Melbourne: Melbourne Social Equity Institute, 2017,</w:t>
      </w:r>
      <w:r>
        <w:rPr>
          <w:spacing w:val="-15"/>
          <w:sz w:val="20"/>
        </w:rPr>
        <w:t> </w:t>
      </w:r>
      <w:r>
        <w:rPr>
          <w:sz w:val="20"/>
        </w:rPr>
        <w:t>58.</w:t>
      </w:r>
    </w:p>
    <w:p>
      <w:pPr>
        <w:spacing w:after="0" w:line="232" w:lineRule="auto"/>
        <w:jc w:val="both"/>
        <w:rPr>
          <w:sz w:val="20"/>
        </w:rPr>
        <w:sectPr>
          <w:pgSz w:w="11910" w:h="16840"/>
          <w:pgMar w:header="763" w:footer="1025" w:top="980" w:bottom="1220" w:left="1220" w:right="1200"/>
        </w:sectPr>
      </w:pPr>
    </w:p>
    <w:p>
      <w:pPr>
        <w:pStyle w:val="BodyText"/>
        <w:spacing w:before="4"/>
        <w:rPr>
          <w:sz w:val="21"/>
        </w:rPr>
      </w:pPr>
    </w:p>
    <w:p>
      <w:pPr>
        <w:pStyle w:val="BodyText"/>
        <w:spacing w:before="100"/>
        <w:ind w:left="120" w:right="228"/>
        <w:jc w:val="both"/>
      </w:pPr>
      <w:r>
        <w:rPr/>
        <w:t>Program”, which reports on research into the value of support persons working with lawyers in fitness situations to reduce the occurrence of findings of unfitness and the potential consequences. As the case of </w:t>
      </w:r>
      <w:r>
        <w:rPr>
          <w:i/>
          <w:sz w:val="25"/>
        </w:rPr>
        <w:t>Noble v Australia</w:t>
      </w:r>
      <w:hyperlink w:history="true" w:anchor="_bookmark16">
        <w:r>
          <w:rPr>
            <w:position w:val="8"/>
            <w:sz w:val="16"/>
          </w:rPr>
          <w:t>17</w:t>
        </w:r>
      </w:hyperlink>
      <w:r>
        <w:rPr>
          <w:position w:val="8"/>
          <w:sz w:val="16"/>
        </w:rPr>
        <w:t> </w:t>
      </w:r>
      <w:r>
        <w:rPr/>
        <w:t>indicates, these consequences can be the most problematic aspect of the process: this case involved a man found unfit to stand trial and held in prison conditions because no other facilities were</w:t>
      </w:r>
      <w:r>
        <w:rPr>
          <w:spacing w:val="-4"/>
        </w:rPr>
        <w:t> </w:t>
      </w:r>
      <w:r>
        <w:rPr/>
        <w:t>found</w:t>
      </w:r>
      <w:r>
        <w:rPr>
          <w:spacing w:val="-5"/>
        </w:rPr>
        <w:t> </w:t>
      </w:r>
      <w:r>
        <w:rPr/>
        <w:t>suitable.</w:t>
      </w:r>
      <w:r>
        <w:rPr>
          <w:spacing w:val="-5"/>
        </w:rPr>
        <w:t> </w:t>
      </w:r>
      <w:r>
        <w:rPr/>
        <w:t>The</w:t>
      </w:r>
      <w:r>
        <w:rPr>
          <w:spacing w:val="-4"/>
        </w:rPr>
        <w:t> </w:t>
      </w:r>
      <w:r>
        <w:rPr/>
        <w:t>relevant</w:t>
      </w:r>
      <w:r>
        <w:rPr>
          <w:spacing w:val="-5"/>
        </w:rPr>
        <w:t> </w:t>
      </w:r>
      <w:r>
        <w:rPr/>
        <w:t>law,</w:t>
      </w:r>
      <w:r>
        <w:rPr>
          <w:spacing w:val="-5"/>
        </w:rPr>
        <w:t> </w:t>
      </w:r>
      <w:r>
        <w:rPr/>
        <w:t>in</w:t>
      </w:r>
      <w:r>
        <w:rPr>
          <w:spacing w:val="-5"/>
        </w:rPr>
        <w:t> </w:t>
      </w:r>
      <w:r>
        <w:rPr/>
        <w:t>Western</w:t>
      </w:r>
      <w:r>
        <w:rPr>
          <w:spacing w:val="-4"/>
        </w:rPr>
        <w:t> </w:t>
      </w:r>
      <w:r>
        <w:rPr/>
        <w:t>Australia,</w:t>
      </w:r>
      <w:r>
        <w:rPr>
          <w:spacing w:val="-5"/>
        </w:rPr>
        <w:t> </w:t>
      </w:r>
      <w:r>
        <w:rPr/>
        <w:t>made</w:t>
      </w:r>
      <w:r>
        <w:rPr>
          <w:spacing w:val="-6"/>
        </w:rPr>
        <w:t> </w:t>
      </w:r>
      <w:r>
        <w:rPr/>
        <w:t>no</w:t>
      </w:r>
      <w:r>
        <w:rPr>
          <w:spacing w:val="-5"/>
        </w:rPr>
        <w:t> </w:t>
      </w:r>
      <w:r>
        <w:rPr/>
        <w:t>provision</w:t>
      </w:r>
      <w:r>
        <w:rPr>
          <w:spacing w:val="-5"/>
        </w:rPr>
        <w:t> </w:t>
      </w:r>
      <w:r>
        <w:rPr/>
        <w:t>for</w:t>
      </w:r>
      <w:r>
        <w:rPr>
          <w:spacing w:val="-5"/>
        </w:rPr>
        <w:t> </w:t>
      </w:r>
      <w:r>
        <w:rPr/>
        <w:t>the trial to occur if the person became fit, which was particularly problematic because, when Mr Noble sought to argue that he had become fit to be tried, the prosecutors concluded</w:t>
      </w:r>
      <w:r>
        <w:rPr>
          <w:spacing w:val="-7"/>
        </w:rPr>
        <w:t> </w:t>
      </w:r>
      <w:r>
        <w:rPr/>
        <w:t>that</w:t>
      </w:r>
      <w:r>
        <w:rPr>
          <w:spacing w:val="-6"/>
        </w:rPr>
        <w:t> </w:t>
      </w:r>
      <w:r>
        <w:rPr/>
        <w:t>there</w:t>
      </w:r>
      <w:r>
        <w:rPr>
          <w:spacing w:val="-7"/>
        </w:rPr>
        <w:t> </w:t>
      </w:r>
      <w:r>
        <w:rPr/>
        <w:t>was</w:t>
      </w:r>
      <w:r>
        <w:rPr>
          <w:spacing w:val="-7"/>
        </w:rPr>
        <w:t> </w:t>
      </w:r>
      <w:r>
        <w:rPr/>
        <w:t>inadequate</w:t>
      </w:r>
      <w:r>
        <w:rPr>
          <w:spacing w:val="-7"/>
        </w:rPr>
        <w:t> </w:t>
      </w:r>
      <w:r>
        <w:rPr/>
        <w:t>evidence</w:t>
      </w:r>
      <w:r>
        <w:rPr>
          <w:spacing w:val="-7"/>
        </w:rPr>
        <w:t> </w:t>
      </w:r>
      <w:r>
        <w:rPr/>
        <w:t>to</w:t>
      </w:r>
      <w:r>
        <w:rPr>
          <w:spacing w:val="-7"/>
        </w:rPr>
        <w:t> </w:t>
      </w:r>
      <w:r>
        <w:rPr/>
        <w:t>support</w:t>
      </w:r>
      <w:r>
        <w:rPr>
          <w:spacing w:val="-6"/>
        </w:rPr>
        <w:t> </w:t>
      </w:r>
      <w:r>
        <w:rPr/>
        <w:t>a</w:t>
      </w:r>
      <w:r>
        <w:rPr>
          <w:spacing w:val="-8"/>
        </w:rPr>
        <w:t> </w:t>
      </w:r>
      <w:r>
        <w:rPr/>
        <w:t>conviction.</w:t>
      </w:r>
      <w:hyperlink w:history="true" w:anchor="_bookmark17">
        <w:r>
          <w:rPr>
            <w:position w:val="8"/>
            <w:sz w:val="16"/>
          </w:rPr>
          <w:t>18</w:t>
        </w:r>
        <w:r>
          <w:rPr>
            <w:spacing w:val="-5"/>
            <w:position w:val="8"/>
            <w:sz w:val="16"/>
          </w:rPr>
          <w:t> </w:t>
        </w:r>
      </w:hyperlink>
      <w:r>
        <w:rPr/>
        <w:t>Mr</w:t>
      </w:r>
      <w:r>
        <w:rPr>
          <w:spacing w:val="-7"/>
        </w:rPr>
        <w:t> </w:t>
      </w:r>
      <w:r>
        <w:rPr/>
        <w:t>Noble</w:t>
      </w:r>
      <w:r>
        <w:rPr>
          <w:spacing w:val="-7"/>
        </w:rPr>
        <w:t> </w:t>
      </w:r>
      <w:r>
        <w:rPr/>
        <w:t>was detained for over 10 years before being released subject to numerous conditions even though there was by then no prospect of any conviction – and equally no way for him to have recorded the acquittal that the prosecution now conceded he</w:t>
      </w:r>
      <w:r>
        <w:rPr>
          <w:spacing w:val="-33"/>
        </w:rPr>
        <w:t> </w:t>
      </w:r>
      <w:r>
        <w:rPr/>
        <w:t>deserved.</w:t>
      </w:r>
    </w:p>
    <w:p>
      <w:pPr>
        <w:pStyle w:val="BodyText"/>
        <w:spacing w:before="11"/>
        <w:rPr>
          <w:sz w:val="23"/>
        </w:rPr>
      </w:pPr>
    </w:p>
    <w:p>
      <w:pPr>
        <w:pStyle w:val="BodyText"/>
        <w:spacing w:before="1"/>
        <w:ind w:left="120" w:right="229"/>
        <w:jc w:val="both"/>
      </w:pPr>
      <w:r>
        <w:rPr/>
        <w:t>This arose from an unsatisfactory and out of date unfitness law in which a disposal followed from the finding. Even the more modern approach of investigating whether elements</w:t>
      </w:r>
      <w:r>
        <w:rPr>
          <w:spacing w:val="-19"/>
        </w:rPr>
        <w:t> </w:t>
      </w:r>
      <w:r>
        <w:rPr/>
        <w:t>of</w:t>
      </w:r>
      <w:r>
        <w:rPr>
          <w:spacing w:val="-19"/>
        </w:rPr>
        <w:t> </w:t>
      </w:r>
      <w:r>
        <w:rPr/>
        <w:t>the</w:t>
      </w:r>
      <w:r>
        <w:rPr>
          <w:spacing w:val="-19"/>
        </w:rPr>
        <w:t> </w:t>
      </w:r>
      <w:r>
        <w:rPr/>
        <w:t>offence</w:t>
      </w:r>
      <w:r>
        <w:rPr>
          <w:spacing w:val="-19"/>
        </w:rPr>
        <w:t> </w:t>
      </w:r>
      <w:r>
        <w:rPr/>
        <w:t>are</w:t>
      </w:r>
      <w:r>
        <w:rPr>
          <w:spacing w:val="-19"/>
        </w:rPr>
        <w:t> </w:t>
      </w:r>
      <w:r>
        <w:rPr/>
        <w:t>made</w:t>
      </w:r>
      <w:r>
        <w:rPr>
          <w:spacing w:val="-20"/>
        </w:rPr>
        <w:t> </w:t>
      </w:r>
      <w:r>
        <w:rPr/>
        <w:t>out</w:t>
      </w:r>
      <w:r>
        <w:rPr>
          <w:spacing w:val="-19"/>
        </w:rPr>
        <w:t> </w:t>
      </w:r>
      <w:r>
        <w:rPr/>
        <w:t>commonly</w:t>
      </w:r>
      <w:r>
        <w:rPr>
          <w:spacing w:val="-19"/>
        </w:rPr>
        <w:t> </w:t>
      </w:r>
      <w:r>
        <w:rPr/>
        <w:t>pose</w:t>
      </w:r>
      <w:r>
        <w:rPr>
          <w:spacing w:val="-20"/>
        </w:rPr>
        <w:t> </w:t>
      </w:r>
      <w:r>
        <w:rPr/>
        <w:t>problems</w:t>
      </w:r>
      <w:r>
        <w:rPr>
          <w:spacing w:val="-19"/>
        </w:rPr>
        <w:t> </w:t>
      </w:r>
      <w:r>
        <w:rPr/>
        <w:t>for</w:t>
      </w:r>
      <w:r>
        <w:rPr>
          <w:spacing w:val="-20"/>
        </w:rPr>
        <w:t> </w:t>
      </w:r>
      <w:r>
        <w:rPr/>
        <w:t>defendants</w:t>
      </w:r>
      <w:r>
        <w:rPr>
          <w:spacing w:val="-20"/>
        </w:rPr>
        <w:t> </w:t>
      </w:r>
      <w:r>
        <w:rPr/>
        <w:t>because the focus on the physical elements of the offence in question rather than mens rea elements. This means that an acquittal based on a lack of that mens rea, or reliance on such features as self-defence in an assault scenario, are essentially unavailable because they turn on the defendant’s perceptions, which will not be investigated if he or</w:t>
      </w:r>
      <w:r>
        <w:rPr>
          <w:spacing w:val="-16"/>
        </w:rPr>
        <w:t> </w:t>
      </w:r>
      <w:r>
        <w:rPr/>
        <w:t>she</w:t>
      </w:r>
      <w:r>
        <w:rPr>
          <w:spacing w:val="-16"/>
        </w:rPr>
        <w:t> </w:t>
      </w:r>
      <w:r>
        <w:rPr/>
        <w:t>does</w:t>
      </w:r>
      <w:r>
        <w:rPr>
          <w:spacing w:val="-18"/>
        </w:rPr>
        <w:t> </w:t>
      </w:r>
      <w:r>
        <w:rPr/>
        <w:t>not</w:t>
      </w:r>
      <w:r>
        <w:rPr>
          <w:spacing w:val="-17"/>
        </w:rPr>
        <w:t> </w:t>
      </w:r>
      <w:r>
        <w:rPr/>
        <w:t>give</w:t>
      </w:r>
      <w:r>
        <w:rPr>
          <w:spacing w:val="-17"/>
        </w:rPr>
        <w:t> </w:t>
      </w:r>
      <w:r>
        <w:rPr/>
        <w:t>evidence.</w:t>
      </w:r>
      <w:r>
        <w:rPr>
          <w:spacing w:val="-16"/>
        </w:rPr>
        <w:t> </w:t>
      </w:r>
      <w:r>
        <w:rPr/>
        <w:t>Hence,</w:t>
      </w:r>
      <w:r>
        <w:rPr>
          <w:spacing w:val="-16"/>
        </w:rPr>
        <w:t> </w:t>
      </w:r>
      <w:r>
        <w:rPr/>
        <w:t>being</w:t>
      </w:r>
      <w:r>
        <w:rPr>
          <w:spacing w:val="-17"/>
        </w:rPr>
        <w:t> </w:t>
      </w:r>
      <w:r>
        <w:rPr/>
        <w:t>supported</w:t>
      </w:r>
      <w:r>
        <w:rPr>
          <w:spacing w:val="-16"/>
        </w:rPr>
        <w:t> </w:t>
      </w:r>
      <w:r>
        <w:rPr/>
        <w:t>to</w:t>
      </w:r>
      <w:r>
        <w:rPr>
          <w:spacing w:val="-16"/>
        </w:rPr>
        <w:t> </w:t>
      </w:r>
      <w:r>
        <w:rPr/>
        <w:t>the</w:t>
      </w:r>
      <w:r>
        <w:rPr>
          <w:spacing w:val="-16"/>
        </w:rPr>
        <w:t> </w:t>
      </w:r>
      <w:r>
        <w:rPr/>
        <w:t>extent</w:t>
      </w:r>
      <w:r>
        <w:rPr>
          <w:spacing w:val="-16"/>
        </w:rPr>
        <w:t> </w:t>
      </w:r>
      <w:r>
        <w:rPr/>
        <w:t>that</w:t>
      </w:r>
      <w:r>
        <w:rPr>
          <w:spacing w:val="-16"/>
        </w:rPr>
        <w:t> </w:t>
      </w:r>
      <w:r>
        <w:rPr/>
        <w:t>the</w:t>
      </w:r>
      <w:r>
        <w:rPr>
          <w:spacing w:val="-16"/>
        </w:rPr>
        <w:t> </w:t>
      </w:r>
      <w:r>
        <w:rPr/>
        <w:t>defendant is fit to stand trial may bring him or her significant</w:t>
      </w:r>
      <w:r>
        <w:rPr>
          <w:spacing w:val="-27"/>
        </w:rPr>
        <w:t> </w:t>
      </w:r>
      <w:r>
        <w:rPr/>
        <w:t>advantages.</w:t>
      </w:r>
    </w:p>
    <w:p>
      <w:pPr>
        <w:pStyle w:val="BodyText"/>
      </w:pPr>
    </w:p>
    <w:p>
      <w:pPr>
        <w:pStyle w:val="BodyText"/>
        <w:ind w:left="120" w:right="229"/>
        <w:jc w:val="both"/>
      </w:pPr>
      <w:r>
        <w:rPr/>
        <w:t>The Melbourne Social Equity Institute report sets out the positive aspects of using trained</w:t>
      </w:r>
      <w:r>
        <w:rPr>
          <w:spacing w:val="-17"/>
        </w:rPr>
        <w:t> </w:t>
      </w:r>
      <w:r>
        <w:rPr/>
        <w:t>support</w:t>
      </w:r>
      <w:r>
        <w:rPr>
          <w:spacing w:val="-17"/>
        </w:rPr>
        <w:t> </w:t>
      </w:r>
      <w:r>
        <w:rPr/>
        <w:t>workers,</w:t>
      </w:r>
      <w:r>
        <w:rPr>
          <w:spacing w:val="-15"/>
        </w:rPr>
        <w:t> </w:t>
      </w:r>
      <w:r>
        <w:rPr/>
        <w:t>particularly</w:t>
      </w:r>
      <w:r>
        <w:rPr>
          <w:spacing w:val="-17"/>
        </w:rPr>
        <w:t> </w:t>
      </w:r>
      <w:r>
        <w:rPr/>
        <w:t>for</w:t>
      </w:r>
      <w:r>
        <w:rPr>
          <w:spacing w:val="-17"/>
        </w:rPr>
        <w:t> </w:t>
      </w:r>
      <w:r>
        <w:rPr/>
        <w:t>defendants</w:t>
      </w:r>
      <w:r>
        <w:rPr>
          <w:spacing w:val="-16"/>
        </w:rPr>
        <w:t> </w:t>
      </w:r>
      <w:r>
        <w:rPr/>
        <w:t>from</w:t>
      </w:r>
      <w:r>
        <w:rPr>
          <w:spacing w:val="-16"/>
        </w:rPr>
        <w:t> </w:t>
      </w:r>
      <w:r>
        <w:rPr/>
        <w:t>indigenous</w:t>
      </w:r>
      <w:r>
        <w:rPr>
          <w:spacing w:val="-16"/>
        </w:rPr>
        <w:t> </w:t>
      </w:r>
      <w:r>
        <w:rPr/>
        <w:t>communities,</w:t>
      </w:r>
      <w:r>
        <w:rPr>
          <w:spacing w:val="-15"/>
        </w:rPr>
        <w:t> </w:t>
      </w:r>
      <w:r>
        <w:rPr/>
        <w:t>who are</w:t>
      </w:r>
      <w:r>
        <w:rPr>
          <w:spacing w:val="-6"/>
        </w:rPr>
        <w:t> </w:t>
      </w:r>
      <w:r>
        <w:rPr/>
        <w:t>disproportionately</w:t>
      </w:r>
      <w:r>
        <w:rPr>
          <w:spacing w:val="-7"/>
        </w:rPr>
        <w:t> </w:t>
      </w:r>
      <w:r>
        <w:rPr/>
        <w:t>affected.</w:t>
      </w:r>
      <w:r>
        <w:rPr>
          <w:spacing w:val="-6"/>
        </w:rPr>
        <w:t> </w:t>
      </w:r>
      <w:r>
        <w:rPr/>
        <w:t>It</w:t>
      </w:r>
      <w:r>
        <w:rPr>
          <w:spacing w:val="-6"/>
        </w:rPr>
        <w:t> </w:t>
      </w:r>
      <w:r>
        <w:rPr/>
        <w:t>also</w:t>
      </w:r>
      <w:r>
        <w:rPr>
          <w:spacing w:val="-7"/>
        </w:rPr>
        <w:t> </w:t>
      </w:r>
      <w:r>
        <w:rPr/>
        <w:t>discusses</w:t>
      </w:r>
      <w:r>
        <w:rPr>
          <w:spacing w:val="-6"/>
        </w:rPr>
        <w:t> </w:t>
      </w:r>
      <w:r>
        <w:rPr/>
        <w:t>some</w:t>
      </w:r>
      <w:r>
        <w:rPr>
          <w:spacing w:val="-6"/>
        </w:rPr>
        <w:t> </w:t>
      </w:r>
      <w:r>
        <w:rPr/>
        <w:t>of</w:t>
      </w:r>
      <w:r>
        <w:rPr>
          <w:spacing w:val="-5"/>
        </w:rPr>
        <w:t> </w:t>
      </w:r>
      <w:r>
        <w:rPr/>
        <w:t>the</w:t>
      </w:r>
      <w:r>
        <w:rPr>
          <w:spacing w:val="-7"/>
        </w:rPr>
        <w:t> </w:t>
      </w:r>
      <w:r>
        <w:rPr/>
        <w:t>potential</w:t>
      </w:r>
      <w:r>
        <w:rPr>
          <w:spacing w:val="-6"/>
        </w:rPr>
        <w:t> </w:t>
      </w:r>
      <w:r>
        <w:rPr/>
        <w:t>frictions</w:t>
      </w:r>
      <w:r>
        <w:rPr>
          <w:spacing w:val="-7"/>
        </w:rPr>
        <w:t> </w:t>
      </w:r>
      <w:r>
        <w:rPr/>
        <w:t>caused by support persons not having legal knowledge and potentially being compellable witnesses</w:t>
      </w:r>
      <w:r>
        <w:rPr>
          <w:spacing w:val="-7"/>
        </w:rPr>
        <w:t> </w:t>
      </w:r>
      <w:r>
        <w:rPr/>
        <w:t>on</w:t>
      </w:r>
      <w:r>
        <w:rPr>
          <w:spacing w:val="-6"/>
        </w:rPr>
        <w:t> </w:t>
      </w:r>
      <w:r>
        <w:rPr/>
        <w:t>the</w:t>
      </w:r>
      <w:r>
        <w:rPr>
          <w:spacing w:val="-8"/>
        </w:rPr>
        <w:t> </w:t>
      </w:r>
      <w:r>
        <w:rPr/>
        <w:t>current</w:t>
      </w:r>
      <w:r>
        <w:rPr>
          <w:spacing w:val="-6"/>
        </w:rPr>
        <w:t> </w:t>
      </w:r>
      <w:r>
        <w:rPr/>
        <w:t>state</w:t>
      </w:r>
      <w:r>
        <w:rPr>
          <w:spacing w:val="-9"/>
        </w:rPr>
        <w:t> </w:t>
      </w:r>
      <w:r>
        <w:rPr/>
        <w:t>of</w:t>
      </w:r>
      <w:r>
        <w:rPr>
          <w:spacing w:val="-9"/>
        </w:rPr>
        <w:t> </w:t>
      </w:r>
      <w:r>
        <w:rPr/>
        <w:t>the</w:t>
      </w:r>
      <w:r>
        <w:rPr>
          <w:spacing w:val="-8"/>
        </w:rPr>
        <w:t> </w:t>
      </w:r>
      <w:r>
        <w:rPr/>
        <w:t>law.</w:t>
      </w:r>
      <w:r>
        <w:rPr>
          <w:spacing w:val="-7"/>
        </w:rPr>
        <w:t> </w:t>
      </w:r>
      <w:r>
        <w:rPr/>
        <w:t>One</w:t>
      </w:r>
      <w:r>
        <w:rPr>
          <w:spacing w:val="-7"/>
        </w:rPr>
        <w:t> </w:t>
      </w:r>
      <w:r>
        <w:rPr/>
        <w:t>of</w:t>
      </w:r>
      <w:r>
        <w:rPr>
          <w:spacing w:val="-7"/>
        </w:rPr>
        <w:t> </w:t>
      </w:r>
      <w:r>
        <w:rPr/>
        <w:t>the</w:t>
      </w:r>
      <w:r>
        <w:rPr>
          <w:spacing w:val="-8"/>
        </w:rPr>
        <w:t> </w:t>
      </w:r>
      <w:r>
        <w:rPr/>
        <w:t>potential</w:t>
      </w:r>
      <w:r>
        <w:rPr>
          <w:spacing w:val="-8"/>
        </w:rPr>
        <w:t> </w:t>
      </w:r>
      <w:r>
        <w:rPr/>
        <w:t>advantages</w:t>
      </w:r>
      <w:r>
        <w:rPr>
          <w:spacing w:val="-8"/>
        </w:rPr>
        <w:t> </w:t>
      </w:r>
      <w:r>
        <w:rPr/>
        <w:t>described</w:t>
      </w:r>
      <w:r>
        <w:rPr>
          <w:spacing w:val="-7"/>
        </w:rPr>
        <w:t> </w:t>
      </w:r>
      <w:r>
        <w:rPr/>
        <w:t>is of the ability to produce a suitable package that would satisfy the prosecution that</w:t>
      </w:r>
      <w:r>
        <w:rPr>
          <w:spacing w:val="-42"/>
        </w:rPr>
        <w:t> </w:t>
      </w:r>
      <w:r>
        <w:rPr/>
        <w:t>the matter could be diverted from the criminal justice system, producing potentially significant cost</w:t>
      </w:r>
      <w:r>
        <w:rPr>
          <w:spacing w:val="-12"/>
        </w:rPr>
        <w:t> </w:t>
      </w:r>
      <w:r>
        <w:rPr/>
        <w:t>savings.</w:t>
      </w:r>
    </w:p>
    <w:p>
      <w:pPr>
        <w:pStyle w:val="BodyText"/>
        <w:spacing w:before="12"/>
        <w:rPr>
          <w:sz w:val="23"/>
        </w:rPr>
      </w:pPr>
    </w:p>
    <w:p>
      <w:pPr>
        <w:pStyle w:val="BodyText"/>
        <w:ind w:left="120" w:right="229"/>
        <w:jc w:val="both"/>
      </w:pPr>
      <w:r>
        <w:rPr/>
        <w:t>The Latham Committee is also supportive of such mechanisms. The use of intermediaries to facilitate communication is an established feature of the English criminal courts, though the Committee calls attention to it being a very limited number.</w:t>
      </w:r>
      <w:hyperlink w:history="true" w:anchor="_bookmark18">
        <w:r>
          <w:rPr>
            <w:position w:val="8"/>
            <w:sz w:val="16"/>
          </w:rPr>
          <w:t>19</w:t>
        </w:r>
        <w:r>
          <w:rPr>
            <w:spacing w:val="-9"/>
            <w:position w:val="8"/>
            <w:sz w:val="16"/>
          </w:rPr>
          <w:t> </w:t>
        </w:r>
      </w:hyperlink>
      <w:r>
        <w:rPr/>
        <w:t>They</w:t>
      </w:r>
      <w:r>
        <w:rPr>
          <w:spacing w:val="-12"/>
        </w:rPr>
        <w:t> </w:t>
      </w:r>
      <w:r>
        <w:rPr/>
        <w:t>also</w:t>
      </w:r>
      <w:r>
        <w:rPr>
          <w:spacing w:val="-12"/>
        </w:rPr>
        <w:t> </w:t>
      </w:r>
      <w:r>
        <w:rPr/>
        <w:t>raise</w:t>
      </w:r>
      <w:r>
        <w:rPr>
          <w:spacing w:val="-13"/>
        </w:rPr>
        <w:t> </w:t>
      </w:r>
      <w:r>
        <w:rPr/>
        <w:t>their</w:t>
      </w:r>
      <w:r>
        <w:rPr>
          <w:spacing w:val="-13"/>
        </w:rPr>
        <w:t> </w:t>
      </w:r>
      <w:r>
        <w:rPr/>
        <w:t>concern</w:t>
      </w:r>
      <w:r>
        <w:rPr>
          <w:spacing w:val="-12"/>
        </w:rPr>
        <w:t> </w:t>
      </w:r>
      <w:r>
        <w:rPr/>
        <w:t>that</w:t>
      </w:r>
      <w:r>
        <w:rPr>
          <w:spacing w:val="-14"/>
        </w:rPr>
        <w:t> </w:t>
      </w:r>
      <w:r>
        <w:rPr/>
        <w:t>Practice</w:t>
      </w:r>
      <w:r>
        <w:rPr>
          <w:spacing w:val="-13"/>
        </w:rPr>
        <w:t> </w:t>
      </w:r>
      <w:r>
        <w:rPr/>
        <w:t>Directions</w:t>
      </w:r>
      <w:r>
        <w:rPr>
          <w:spacing w:val="-14"/>
        </w:rPr>
        <w:t> </w:t>
      </w:r>
      <w:r>
        <w:rPr/>
        <w:t>and</w:t>
      </w:r>
      <w:r>
        <w:rPr>
          <w:spacing w:val="-12"/>
        </w:rPr>
        <w:t> </w:t>
      </w:r>
      <w:r>
        <w:rPr/>
        <w:t>appellate</w:t>
      </w:r>
      <w:r>
        <w:rPr>
          <w:spacing w:val="-14"/>
        </w:rPr>
        <w:t> </w:t>
      </w:r>
      <w:r>
        <w:rPr/>
        <w:t>decisions undermine the prospects of intermediaries being available for the whole trial, apparently for cost reasons, reliance being placed instead on untrained judges and advocates</w:t>
      </w:r>
      <w:r>
        <w:rPr>
          <w:spacing w:val="-8"/>
        </w:rPr>
        <w:t> </w:t>
      </w:r>
      <w:r>
        <w:rPr/>
        <w:t>to</w:t>
      </w:r>
      <w:r>
        <w:rPr>
          <w:spacing w:val="-7"/>
        </w:rPr>
        <w:t> </w:t>
      </w:r>
      <w:r>
        <w:rPr/>
        <w:t>muddle</w:t>
      </w:r>
      <w:r>
        <w:rPr>
          <w:spacing w:val="-8"/>
        </w:rPr>
        <w:t> </w:t>
      </w:r>
      <w:r>
        <w:rPr/>
        <w:t>through.</w:t>
      </w:r>
      <w:hyperlink w:history="true" w:anchor="_bookmark19">
        <w:r>
          <w:rPr>
            <w:position w:val="8"/>
            <w:sz w:val="16"/>
          </w:rPr>
          <w:t>20</w:t>
        </w:r>
        <w:r>
          <w:rPr>
            <w:spacing w:val="-6"/>
            <w:position w:val="8"/>
            <w:sz w:val="16"/>
          </w:rPr>
          <w:t> </w:t>
        </w:r>
      </w:hyperlink>
      <w:r>
        <w:rPr/>
        <w:t>They</w:t>
      </w:r>
      <w:r>
        <w:rPr>
          <w:spacing w:val="-8"/>
        </w:rPr>
        <w:t> </w:t>
      </w:r>
      <w:r>
        <w:rPr/>
        <w:t>suggest</w:t>
      </w:r>
      <w:r>
        <w:rPr>
          <w:spacing w:val="-9"/>
        </w:rPr>
        <w:t> </w:t>
      </w:r>
      <w:r>
        <w:rPr/>
        <w:t>that</w:t>
      </w:r>
      <w:r>
        <w:rPr>
          <w:spacing w:val="-8"/>
        </w:rPr>
        <w:t> </w:t>
      </w:r>
      <w:r>
        <w:rPr/>
        <w:t>the</w:t>
      </w:r>
      <w:r>
        <w:rPr>
          <w:spacing w:val="-8"/>
        </w:rPr>
        <w:t> </w:t>
      </w:r>
      <w:r>
        <w:rPr/>
        <w:t>whole</w:t>
      </w:r>
      <w:r>
        <w:rPr>
          <w:spacing w:val="-8"/>
        </w:rPr>
        <w:t> </w:t>
      </w:r>
      <w:r>
        <w:rPr/>
        <w:t>system</w:t>
      </w:r>
      <w:r>
        <w:rPr>
          <w:spacing w:val="-9"/>
        </w:rPr>
        <w:t> </w:t>
      </w:r>
      <w:r>
        <w:rPr/>
        <w:t>should</w:t>
      </w:r>
      <w:r>
        <w:rPr>
          <w:spacing w:val="-9"/>
        </w:rPr>
        <w:t> </w:t>
      </w:r>
      <w:r>
        <w:rPr/>
        <w:t>be</w:t>
      </w:r>
      <w:r>
        <w:rPr>
          <w:spacing w:val="-8"/>
        </w:rPr>
        <w:t> </w:t>
      </w:r>
      <w:r>
        <w:rPr/>
        <w:t>revised</w:t>
      </w:r>
    </w:p>
    <w:p>
      <w:pPr>
        <w:pStyle w:val="BodyText"/>
        <w:spacing w:before="5"/>
        <w:rPr>
          <w:sz w:val="28"/>
        </w:rPr>
      </w:pPr>
      <w:r>
        <w:rPr/>
        <w:pict>
          <v:line style="position:absolute;mso-position-horizontal-relative:page;mso-position-vertical-relative:paragraph;z-index:1096;mso-wrap-distance-left:0;mso-wrap-distance-right:0" from="67.019997pt,19.388515pt" to="211.019997pt,19.388515pt" stroked="true" strokeweight=".54pt" strokecolor="#000000">
            <v:stroke dashstyle="solid"/>
            <w10:wrap type="topAndBottom"/>
          </v:line>
        </w:pict>
      </w:r>
    </w:p>
    <w:p>
      <w:pPr>
        <w:spacing w:before="65"/>
        <w:ind w:left="347" w:right="117" w:hanging="227"/>
        <w:jc w:val="both"/>
        <w:rPr>
          <w:sz w:val="20"/>
        </w:rPr>
      </w:pPr>
      <w:bookmarkStart w:name="_bookmark16" w:id="18"/>
      <w:bookmarkEnd w:id="18"/>
      <w:r>
        <w:rPr/>
      </w:r>
      <w:r>
        <w:rPr>
          <w:position w:val="7"/>
          <w:sz w:val="13"/>
        </w:rPr>
        <w:t>17 </w:t>
      </w:r>
      <w:r>
        <w:rPr>
          <w:sz w:val="20"/>
        </w:rPr>
        <w:t>United Nations Committee on the Rights of Persons with Disabilities, Views Adopted by the Committee under Article 5 of the Optional Protocol, Concerning Communication No. 7/2012, [UN Doc CRPD/C/16/D/7/2012] (10 October 2016), [2017] MHLR 215.</w:t>
      </w:r>
    </w:p>
    <w:p>
      <w:pPr>
        <w:spacing w:line="232" w:lineRule="auto" w:before="7"/>
        <w:ind w:left="346" w:right="116" w:hanging="226"/>
        <w:jc w:val="both"/>
        <w:rPr>
          <w:sz w:val="20"/>
        </w:rPr>
      </w:pPr>
      <w:bookmarkStart w:name="_bookmark17" w:id="19"/>
      <w:bookmarkEnd w:id="19"/>
      <w:r>
        <w:rPr/>
      </w:r>
      <w:r>
        <w:rPr>
          <w:position w:val="7"/>
          <w:sz w:val="13"/>
        </w:rPr>
        <w:t>18 </w:t>
      </w:r>
      <w:r>
        <w:rPr>
          <w:sz w:val="20"/>
        </w:rPr>
        <w:t>Indeed, it seems that the victims had recanted any allegations made: McSherry B, Baldry E, Arstein- Kerslake A, Gooding P, McCausland R and Arabena K, </w:t>
      </w:r>
      <w:r>
        <w:rPr>
          <w:i/>
          <w:sz w:val="21"/>
        </w:rPr>
        <w:t>Unfitness to Plead and Indefinite Detention of Persons with Cognitive Disabilities</w:t>
      </w:r>
      <w:r>
        <w:rPr>
          <w:sz w:val="20"/>
        </w:rPr>
        <w:t>, Melbourne: Melbourne Social Equity Institute, 2017, 17, and a newspaper report referred to at endnote 37.</w:t>
      </w:r>
    </w:p>
    <w:p>
      <w:pPr>
        <w:spacing w:line="242" w:lineRule="exact" w:before="0"/>
        <w:ind w:left="120" w:right="0" w:firstLine="0"/>
        <w:jc w:val="left"/>
        <w:rPr>
          <w:sz w:val="20"/>
        </w:rPr>
      </w:pPr>
      <w:bookmarkStart w:name="_bookmark18" w:id="20"/>
      <w:bookmarkEnd w:id="20"/>
      <w:r>
        <w:rPr/>
      </w:r>
      <w:r>
        <w:rPr>
          <w:position w:val="7"/>
          <w:sz w:val="13"/>
        </w:rPr>
        <w:t>19 </w:t>
      </w:r>
      <w:r>
        <w:rPr>
          <w:sz w:val="20"/>
        </w:rPr>
        <w:t>JUSTICE, </w:t>
      </w:r>
      <w:r>
        <w:rPr>
          <w:i/>
          <w:sz w:val="21"/>
        </w:rPr>
        <w:t>Mental Health and Fair Trial</w:t>
      </w:r>
      <w:r>
        <w:rPr>
          <w:sz w:val="20"/>
        </w:rPr>
        <w:t>, London: Justice, 2017, p 66, para 4.20.</w:t>
      </w:r>
    </w:p>
    <w:p>
      <w:pPr>
        <w:spacing w:line="240" w:lineRule="exact" w:before="0"/>
        <w:ind w:left="120" w:right="0" w:firstLine="0"/>
        <w:jc w:val="left"/>
        <w:rPr>
          <w:sz w:val="20"/>
        </w:rPr>
      </w:pPr>
      <w:bookmarkStart w:name="_bookmark19" w:id="21"/>
      <w:bookmarkEnd w:id="21"/>
      <w:r>
        <w:rPr/>
      </w:r>
      <w:r>
        <w:rPr>
          <w:position w:val="7"/>
          <w:sz w:val="13"/>
        </w:rPr>
        <w:t>20 </w:t>
      </w:r>
      <w:r>
        <w:rPr>
          <w:sz w:val="20"/>
        </w:rPr>
        <w:t>ibid p 67, paras 4.20-4.22.</w:t>
      </w:r>
    </w:p>
    <w:p>
      <w:pPr>
        <w:spacing w:after="0" w:line="240" w:lineRule="exact"/>
        <w:jc w:val="left"/>
        <w:rPr>
          <w:sz w:val="20"/>
        </w:rPr>
        <w:sectPr>
          <w:pgSz w:w="11910" w:h="16840"/>
          <w:pgMar w:header="763" w:footer="1025" w:top="980" w:bottom="1220" w:left="1220" w:right="1200"/>
        </w:sectPr>
      </w:pPr>
    </w:p>
    <w:p>
      <w:pPr>
        <w:pStyle w:val="BodyText"/>
        <w:spacing w:before="4"/>
        <w:rPr>
          <w:sz w:val="21"/>
        </w:rPr>
      </w:pPr>
    </w:p>
    <w:p>
      <w:pPr>
        <w:pStyle w:val="BodyText"/>
        <w:spacing w:before="100"/>
        <w:ind w:left="120" w:right="109"/>
        <w:jc w:val="both"/>
        <w:rPr>
          <w:sz w:val="16"/>
        </w:rPr>
      </w:pPr>
      <w:r>
        <w:rPr/>
        <w:t>and that the arrangements in place for witnesses who need intermediaries should be extended to cover defendants.</w:t>
      </w:r>
      <w:hyperlink w:history="true" w:anchor="_bookmark20">
        <w:r>
          <w:rPr>
            <w:position w:val="8"/>
            <w:sz w:val="16"/>
          </w:rPr>
          <w:t>21 </w:t>
        </w:r>
      </w:hyperlink>
      <w:r>
        <w:rPr/>
        <w:t>As for judges, the Latham Committee suggests that courts should have designated judges, with the relevant training, who take over the case</w:t>
      </w:r>
      <w:r>
        <w:rPr>
          <w:spacing w:val="-7"/>
        </w:rPr>
        <w:t> </w:t>
      </w:r>
      <w:r>
        <w:rPr/>
        <w:t>management</w:t>
      </w:r>
      <w:r>
        <w:rPr>
          <w:spacing w:val="-6"/>
        </w:rPr>
        <w:t> </w:t>
      </w:r>
      <w:r>
        <w:rPr/>
        <w:t>of</w:t>
      </w:r>
      <w:r>
        <w:rPr>
          <w:spacing w:val="-8"/>
        </w:rPr>
        <w:t> </w:t>
      </w:r>
      <w:r>
        <w:rPr/>
        <w:t>all</w:t>
      </w:r>
      <w:r>
        <w:rPr>
          <w:spacing w:val="-6"/>
        </w:rPr>
        <w:t> </w:t>
      </w:r>
      <w:r>
        <w:rPr/>
        <w:t>cases</w:t>
      </w:r>
      <w:r>
        <w:rPr>
          <w:spacing w:val="-7"/>
        </w:rPr>
        <w:t> </w:t>
      </w:r>
      <w:r>
        <w:rPr/>
        <w:t>involving</w:t>
      </w:r>
      <w:r>
        <w:rPr>
          <w:spacing w:val="-6"/>
        </w:rPr>
        <w:t> </w:t>
      </w:r>
      <w:r>
        <w:rPr/>
        <w:t>vulnerable</w:t>
      </w:r>
      <w:r>
        <w:rPr>
          <w:spacing w:val="-7"/>
        </w:rPr>
        <w:t> </w:t>
      </w:r>
      <w:r>
        <w:rPr/>
        <w:t>defendants,</w:t>
      </w:r>
      <w:r>
        <w:rPr>
          <w:spacing w:val="-7"/>
        </w:rPr>
        <w:t> </w:t>
      </w:r>
      <w:r>
        <w:rPr/>
        <w:t>with</w:t>
      </w:r>
      <w:r>
        <w:rPr>
          <w:spacing w:val="-6"/>
        </w:rPr>
        <w:t> </w:t>
      </w:r>
      <w:r>
        <w:rPr/>
        <w:t>relevant</w:t>
      </w:r>
      <w:r>
        <w:rPr>
          <w:spacing w:val="-9"/>
        </w:rPr>
        <w:t> </w:t>
      </w:r>
      <w:r>
        <w:rPr/>
        <w:t>protocols in place to ensure reasonable accommodations are made and supplemental powers such as the ability to require prosecutors to give reasoned decisions for proceeding.</w:t>
      </w:r>
      <w:hyperlink w:history="true" w:anchor="_bookmark21">
        <w:r>
          <w:rPr>
            <w:position w:val="8"/>
            <w:sz w:val="16"/>
          </w:rPr>
          <w:t>22</w:t>
        </w:r>
      </w:hyperlink>
      <w:r>
        <w:rPr>
          <w:position w:val="8"/>
          <w:sz w:val="16"/>
        </w:rPr>
        <w:t> </w:t>
      </w:r>
      <w:r>
        <w:rPr/>
        <w:t>Training for advocates is also supported, and the Committee notes that whilst there is a range of material already available for practitioners, the level of take-up is not known.</w:t>
      </w:r>
      <w:hyperlink w:history="true" w:anchor="_bookmark22">
        <w:r>
          <w:rPr>
            <w:position w:val="8"/>
            <w:sz w:val="16"/>
          </w:rPr>
          <w:t>23</w:t>
        </w:r>
      </w:hyperlink>
    </w:p>
    <w:p>
      <w:pPr>
        <w:pStyle w:val="BodyText"/>
        <w:spacing w:before="11"/>
        <w:rPr>
          <w:sz w:val="23"/>
        </w:rPr>
      </w:pPr>
    </w:p>
    <w:p>
      <w:pPr>
        <w:pStyle w:val="BodyText"/>
        <w:spacing w:before="1"/>
        <w:ind w:left="120" w:right="108"/>
        <w:jc w:val="both"/>
      </w:pPr>
      <w:r>
        <w:rPr/>
        <w:t>A telling comment made by the Latham Committee, in understated language, is that, “It is something of an anomaly that so much reliance is placed on AAs during the investigative stage, yet there is no assistance provided to defendants at court”. “AAs” are</w:t>
      </w:r>
      <w:r>
        <w:rPr>
          <w:spacing w:val="-19"/>
        </w:rPr>
        <w:t> </w:t>
      </w:r>
      <w:r>
        <w:rPr/>
        <w:t>the</w:t>
      </w:r>
      <w:r>
        <w:rPr>
          <w:spacing w:val="-19"/>
        </w:rPr>
        <w:t> </w:t>
      </w:r>
      <w:r>
        <w:rPr/>
        <w:t>Appropriate</w:t>
      </w:r>
      <w:r>
        <w:rPr>
          <w:spacing w:val="-19"/>
        </w:rPr>
        <w:t> </w:t>
      </w:r>
      <w:r>
        <w:rPr/>
        <w:t>Adults</w:t>
      </w:r>
      <w:r>
        <w:rPr>
          <w:spacing w:val="-19"/>
        </w:rPr>
        <w:t> </w:t>
      </w:r>
      <w:r>
        <w:rPr/>
        <w:t>who</w:t>
      </w:r>
      <w:r>
        <w:rPr>
          <w:spacing w:val="-19"/>
        </w:rPr>
        <w:t> </w:t>
      </w:r>
      <w:r>
        <w:rPr/>
        <w:t>have</w:t>
      </w:r>
      <w:r>
        <w:rPr>
          <w:spacing w:val="-19"/>
        </w:rPr>
        <w:t> </w:t>
      </w:r>
      <w:r>
        <w:rPr/>
        <w:t>to</w:t>
      </w:r>
      <w:r>
        <w:rPr>
          <w:spacing w:val="-18"/>
        </w:rPr>
        <w:t> </w:t>
      </w:r>
      <w:r>
        <w:rPr/>
        <w:t>be</w:t>
      </w:r>
      <w:r>
        <w:rPr>
          <w:spacing w:val="-19"/>
        </w:rPr>
        <w:t> </w:t>
      </w:r>
      <w:r>
        <w:rPr/>
        <w:t>secured</w:t>
      </w:r>
      <w:r>
        <w:rPr>
          <w:spacing w:val="-18"/>
        </w:rPr>
        <w:t> </w:t>
      </w:r>
      <w:r>
        <w:rPr/>
        <w:t>for</w:t>
      </w:r>
      <w:r>
        <w:rPr>
          <w:spacing w:val="-19"/>
        </w:rPr>
        <w:t> </w:t>
      </w:r>
      <w:r>
        <w:rPr/>
        <w:t>interviews</w:t>
      </w:r>
      <w:r>
        <w:rPr>
          <w:spacing w:val="-19"/>
        </w:rPr>
        <w:t> </w:t>
      </w:r>
      <w:r>
        <w:rPr/>
        <w:t>with</w:t>
      </w:r>
      <w:r>
        <w:rPr>
          <w:spacing w:val="-18"/>
        </w:rPr>
        <w:t> </w:t>
      </w:r>
      <w:r>
        <w:rPr/>
        <w:t>people</w:t>
      </w:r>
      <w:r>
        <w:rPr>
          <w:spacing w:val="-19"/>
        </w:rPr>
        <w:t> </w:t>
      </w:r>
      <w:r>
        <w:rPr/>
        <w:t>suspected to be vulnerable. Failure to secure them means that there is a significant risk that any admissions</w:t>
      </w:r>
      <w:r>
        <w:rPr>
          <w:spacing w:val="-12"/>
        </w:rPr>
        <w:t> </w:t>
      </w:r>
      <w:r>
        <w:rPr/>
        <w:t>in</w:t>
      </w:r>
      <w:r>
        <w:rPr>
          <w:spacing w:val="-10"/>
        </w:rPr>
        <w:t> </w:t>
      </w:r>
      <w:r>
        <w:rPr/>
        <w:t>interview</w:t>
      </w:r>
      <w:r>
        <w:rPr>
          <w:spacing w:val="-11"/>
        </w:rPr>
        <w:t> </w:t>
      </w:r>
      <w:r>
        <w:rPr/>
        <w:t>will</w:t>
      </w:r>
      <w:r>
        <w:rPr>
          <w:spacing w:val="-9"/>
        </w:rPr>
        <w:t> </w:t>
      </w:r>
      <w:r>
        <w:rPr/>
        <w:t>be</w:t>
      </w:r>
      <w:r>
        <w:rPr>
          <w:spacing w:val="-11"/>
        </w:rPr>
        <w:t> </w:t>
      </w:r>
      <w:r>
        <w:rPr/>
        <w:t>found</w:t>
      </w:r>
      <w:r>
        <w:rPr>
          <w:spacing w:val="-10"/>
        </w:rPr>
        <w:t> </w:t>
      </w:r>
      <w:r>
        <w:rPr/>
        <w:t>inadmissible</w:t>
      </w:r>
      <w:r>
        <w:rPr>
          <w:spacing w:val="-11"/>
        </w:rPr>
        <w:t> </w:t>
      </w:r>
      <w:r>
        <w:rPr/>
        <w:t>for</w:t>
      </w:r>
      <w:r>
        <w:rPr>
          <w:spacing w:val="-11"/>
        </w:rPr>
        <w:t> </w:t>
      </w:r>
      <w:r>
        <w:rPr/>
        <w:t>failure</w:t>
      </w:r>
      <w:r>
        <w:rPr>
          <w:spacing w:val="-11"/>
        </w:rPr>
        <w:t> </w:t>
      </w:r>
      <w:r>
        <w:rPr/>
        <w:t>to</w:t>
      </w:r>
      <w:r>
        <w:rPr>
          <w:spacing w:val="-10"/>
        </w:rPr>
        <w:t> </w:t>
      </w:r>
      <w:r>
        <w:rPr/>
        <w:t>abide</w:t>
      </w:r>
      <w:r>
        <w:rPr>
          <w:spacing w:val="-11"/>
        </w:rPr>
        <w:t> </w:t>
      </w:r>
      <w:r>
        <w:rPr/>
        <w:t>by</w:t>
      </w:r>
      <w:r>
        <w:rPr>
          <w:spacing w:val="-10"/>
        </w:rPr>
        <w:t> </w:t>
      </w:r>
      <w:r>
        <w:rPr/>
        <w:t>the</w:t>
      </w:r>
      <w:r>
        <w:rPr>
          <w:spacing w:val="-12"/>
        </w:rPr>
        <w:t> </w:t>
      </w:r>
      <w:r>
        <w:rPr/>
        <w:t>obligations to</w:t>
      </w:r>
      <w:r>
        <w:rPr>
          <w:spacing w:val="-11"/>
        </w:rPr>
        <w:t> </w:t>
      </w:r>
      <w:r>
        <w:rPr/>
        <w:t>use</w:t>
      </w:r>
      <w:r>
        <w:rPr>
          <w:spacing w:val="-11"/>
        </w:rPr>
        <w:t> </w:t>
      </w:r>
      <w:r>
        <w:rPr/>
        <w:t>an</w:t>
      </w:r>
      <w:r>
        <w:rPr>
          <w:spacing w:val="-10"/>
        </w:rPr>
        <w:t> </w:t>
      </w:r>
      <w:r>
        <w:rPr/>
        <w:t>Appropriate</w:t>
      </w:r>
      <w:r>
        <w:rPr>
          <w:spacing w:val="-13"/>
        </w:rPr>
        <w:t> </w:t>
      </w:r>
      <w:r>
        <w:rPr/>
        <w:t>Adult,</w:t>
      </w:r>
      <w:r>
        <w:rPr>
          <w:spacing w:val="-11"/>
        </w:rPr>
        <w:t> </w:t>
      </w:r>
      <w:r>
        <w:rPr/>
        <w:t>required</w:t>
      </w:r>
      <w:r>
        <w:rPr>
          <w:spacing w:val="-10"/>
        </w:rPr>
        <w:t> </w:t>
      </w:r>
      <w:r>
        <w:rPr/>
        <w:t>by</w:t>
      </w:r>
      <w:r>
        <w:rPr>
          <w:spacing w:val="-11"/>
        </w:rPr>
        <w:t> </w:t>
      </w:r>
      <w:r>
        <w:rPr/>
        <w:t>the</w:t>
      </w:r>
      <w:r>
        <w:rPr>
          <w:spacing w:val="-13"/>
        </w:rPr>
        <w:t> </w:t>
      </w:r>
      <w:r>
        <w:rPr/>
        <w:t>Police</w:t>
      </w:r>
      <w:r>
        <w:rPr>
          <w:spacing w:val="-11"/>
        </w:rPr>
        <w:t> </w:t>
      </w:r>
      <w:r>
        <w:rPr/>
        <w:t>and</w:t>
      </w:r>
      <w:r>
        <w:rPr>
          <w:spacing w:val="-12"/>
        </w:rPr>
        <w:t> </w:t>
      </w:r>
      <w:r>
        <w:rPr/>
        <w:t>Criminal</w:t>
      </w:r>
      <w:r>
        <w:rPr>
          <w:spacing w:val="-11"/>
        </w:rPr>
        <w:t> </w:t>
      </w:r>
      <w:r>
        <w:rPr/>
        <w:t>Evidence</w:t>
      </w:r>
      <w:r>
        <w:rPr>
          <w:spacing w:val="-11"/>
        </w:rPr>
        <w:t> </w:t>
      </w:r>
      <w:r>
        <w:rPr/>
        <w:t>Act</w:t>
      </w:r>
      <w:r>
        <w:rPr>
          <w:spacing w:val="-12"/>
        </w:rPr>
        <w:t> </w:t>
      </w:r>
      <w:r>
        <w:rPr/>
        <w:t>1984</w:t>
      </w:r>
      <w:r>
        <w:rPr>
          <w:spacing w:val="-11"/>
        </w:rPr>
        <w:t> </w:t>
      </w:r>
      <w:r>
        <w:rPr/>
        <w:t>and the</w:t>
      </w:r>
      <w:r>
        <w:rPr>
          <w:spacing w:val="-22"/>
        </w:rPr>
        <w:t> </w:t>
      </w:r>
      <w:r>
        <w:rPr/>
        <w:t>Codes</w:t>
      </w:r>
      <w:r>
        <w:rPr>
          <w:spacing w:val="-22"/>
        </w:rPr>
        <w:t> </w:t>
      </w:r>
      <w:r>
        <w:rPr/>
        <w:t>of</w:t>
      </w:r>
      <w:r>
        <w:rPr>
          <w:spacing w:val="-22"/>
        </w:rPr>
        <w:t> </w:t>
      </w:r>
      <w:r>
        <w:rPr/>
        <w:t>Practice</w:t>
      </w:r>
      <w:r>
        <w:rPr>
          <w:spacing w:val="-22"/>
        </w:rPr>
        <w:t> </w:t>
      </w:r>
      <w:r>
        <w:rPr/>
        <w:t>issued</w:t>
      </w:r>
      <w:r>
        <w:rPr>
          <w:spacing w:val="-22"/>
        </w:rPr>
        <w:t> </w:t>
      </w:r>
      <w:r>
        <w:rPr/>
        <w:t>under</w:t>
      </w:r>
      <w:r>
        <w:rPr>
          <w:spacing w:val="-23"/>
        </w:rPr>
        <w:t> </w:t>
      </w:r>
      <w:r>
        <w:rPr/>
        <w:t>it.</w:t>
      </w:r>
      <w:r>
        <w:rPr>
          <w:spacing w:val="-22"/>
        </w:rPr>
        <w:t> </w:t>
      </w:r>
      <w:r>
        <w:rPr/>
        <w:t>The</w:t>
      </w:r>
      <w:r>
        <w:rPr>
          <w:spacing w:val="-22"/>
        </w:rPr>
        <w:t> </w:t>
      </w:r>
      <w:r>
        <w:rPr/>
        <w:t>Committee,</w:t>
      </w:r>
      <w:r>
        <w:rPr>
          <w:spacing w:val="-22"/>
        </w:rPr>
        <w:t> </w:t>
      </w:r>
      <w:r>
        <w:rPr/>
        <w:t>however,</w:t>
      </w:r>
      <w:r>
        <w:rPr>
          <w:spacing w:val="-22"/>
        </w:rPr>
        <w:t> </w:t>
      </w:r>
      <w:r>
        <w:rPr/>
        <w:t>has</w:t>
      </w:r>
      <w:r>
        <w:rPr>
          <w:spacing w:val="-22"/>
        </w:rPr>
        <w:t> </w:t>
      </w:r>
      <w:r>
        <w:rPr/>
        <w:t>various</w:t>
      </w:r>
      <w:r>
        <w:rPr>
          <w:spacing w:val="-22"/>
        </w:rPr>
        <w:t> </w:t>
      </w:r>
      <w:r>
        <w:rPr/>
        <w:t>suggestions to make for steps at the investigation and charge stage: this includes having “liaison and diversion” professionals from health and social care services conduct screening of people in police custody in order to provide a more robust assessment of vulnerability at the outset; and properly trained prosecutors who can assess the need to charge, assisted by diversion panels of mental health practitioners who could coordinate a support</w:t>
      </w:r>
      <w:r>
        <w:rPr>
          <w:spacing w:val="-18"/>
        </w:rPr>
        <w:t> </w:t>
      </w:r>
      <w:r>
        <w:rPr/>
        <w:t>package</w:t>
      </w:r>
      <w:r>
        <w:rPr>
          <w:spacing w:val="-18"/>
        </w:rPr>
        <w:t> </w:t>
      </w:r>
      <w:r>
        <w:rPr/>
        <w:t>that</w:t>
      </w:r>
      <w:r>
        <w:rPr>
          <w:spacing w:val="-19"/>
        </w:rPr>
        <w:t> </w:t>
      </w:r>
      <w:r>
        <w:rPr/>
        <w:t>might</w:t>
      </w:r>
      <w:r>
        <w:rPr>
          <w:spacing w:val="-18"/>
        </w:rPr>
        <w:t> </w:t>
      </w:r>
      <w:r>
        <w:rPr/>
        <w:t>tilt</w:t>
      </w:r>
      <w:r>
        <w:rPr>
          <w:spacing w:val="-18"/>
        </w:rPr>
        <w:t> </w:t>
      </w:r>
      <w:r>
        <w:rPr/>
        <w:t>the</w:t>
      </w:r>
      <w:r>
        <w:rPr>
          <w:spacing w:val="-18"/>
        </w:rPr>
        <w:t> </w:t>
      </w:r>
      <w:r>
        <w:rPr/>
        <w:t>public</w:t>
      </w:r>
      <w:r>
        <w:rPr>
          <w:spacing w:val="-19"/>
        </w:rPr>
        <w:t> </w:t>
      </w:r>
      <w:r>
        <w:rPr/>
        <w:t>interest</w:t>
      </w:r>
      <w:r>
        <w:rPr>
          <w:spacing w:val="-17"/>
        </w:rPr>
        <w:t> </w:t>
      </w:r>
      <w:r>
        <w:rPr/>
        <w:t>away</w:t>
      </w:r>
      <w:r>
        <w:rPr>
          <w:spacing w:val="-18"/>
        </w:rPr>
        <w:t> </w:t>
      </w:r>
      <w:r>
        <w:rPr/>
        <w:t>from</w:t>
      </w:r>
      <w:r>
        <w:rPr>
          <w:spacing w:val="-18"/>
        </w:rPr>
        <w:t> </w:t>
      </w:r>
      <w:r>
        <w:rPr/>
        <w:t>prosecuting</w:t>
      </w:r>
      <w:r>
        <w:rPr>
          <w:spacing w:val="-18"/>
        </w:rPr>
        <w:t> </w:t>
      </w:r>
      <w:r>
        <w:rPr/>
        <w:t>and</w:t>
      </w:r>
      <w:r>
        <w:rPr>
          <w:spacing w:val="-18"/>
        </w:rPr>
        <w:t> </w:t>
      </w:r>
      <w:r>
        <w:rPr/>
        <w:t>into</w:t>
      </w:r>
      <w:r>
        <w:rPr>
          <w:spacing w:val="-18"/>
        </w:rPr>
        <w:t> </w:t>
      </w:r>
      <w:r>
        <w:rPr/>
        <w:t>some form of diversion. As has been noted above, the Melbourne Social Equity Institute report makes the point that this will produce significant fiscal</w:t>
      </w:r>
      <w:r>
        <w:rPr>
          <w:spacing w:val="-29"/>
        </w:rPr>
        <w:t> </w:t>
      </w:r>
      <w:r>
        <w:rPr/>
        <w:t>benefits.</w:t>
      </w:r>
    </w:p>
    <w:p>
      <w:pPr>
        <w:pStyle w:val="BodyText"/>
      </w:pPr>
    </w:p>
    <w:p>
      <w:pPr>
        <w:pStyle w:val="BodyText"/>
        <w:ind w:left="120" w:right="108"/>
        <w:jc w:val="both"/>
      </w:pPr>
      <w:r>
        <w:rPr/>
        <w:t>The Latham Committee also makes recommendations as to changes at the sentencing stage, including the involvement of liaison and diversion professionals to make recommendations on options available to the court. Its views take on a sense of urgency when the context is set, which is the overrepresentation in the prison population</w:t>
      </w:r>
      <w:r>
        <w:rPr>
          <w:spacing w:val="-12"/>
        </w:rPr>
        <w:t> </w:t>
      </w:r>
      <w:r>
        <w:rPr/>
        <w:t>of</w:t>
      </w:r>
      <w:r>
        <w:rPr>
          <w:spacing w:val="-11"/>
        </w:rPr>
        <w:t> </w:t>
      </w:r>
      <w:r>
        <w:rPr/>
        <w:t>England</w:t>
      </w:r>
      <w:r>
        <w:rPr>
          <w:spacing w:val="-12"/>
        </w:rPr>
        <w:t> </w:t>
      </w:r>
      <w:r>
        <w:rPr/>
        <w:t>and</w:t>
      </w:r>
      <w:r>
        <w:rPr>
          <w:spacing w:val="-11"/>
        </w:rPr>
        <w:t> </w:t>
      </w:r>
      <w:r>
        <w:rPr/>
        <w:t>Wales</w:t>
      </w:r>
      <w:r>
        <w:rPr>
          <w:spacing w:val="-12"/>
        </w:rPr>
        <w:t> </w:t>
      </w:r>
      <w:r>
        <w:rPr/>
        <w:t>of</w:t>
      </w:r>
      <w:r>
        <w:rPr>
          <w:spacing w:val="-11"/>
        </w:rPr>
        <w:t> </w:t>
      </w:r>
      <w:r>
        <w:rPr/>
        <w:t>those</w:t>
      </w:r>
      <w:r>
        <w:rPr>
          <w:spacing w:val="-12"/>
        </w:rPr>
        <w:t> </w:t>
      </w:r>
      <w:r>
        <w:rPr/>
        <w:t>who</w:t>
      </w:r>
      <w:r>
        <w:rPr>
          <w:spacing w:val="-11"/>
        </w:rPr>
        <w:t> </w:t>
      </w:r>
      <w:r>
        <w:rPr/>
        <w:t>will</w:t>
      </w:r>
      <w:r>
        <w:rPr>
          <w:spacing w:val="-12"/>
        </w:rPr>
        <w:t> </w:t>
      </w:r>
      <w:r>
        <w:rPr/>
        <w:t>be</w:t>
      </w:r>
      <w:r>
        <w:rPr>
          <w:spacing w:val="-11"/>
        </w:rPr>
        <w:t> </w:t>
      </w:r>
      <w:r>
        <w:rPr/>
        <w:t>in</w:t>
      </w:r>
      <w:r>
        <w:rPr>
          <w:spacing w:val="-11"/>
        </w:rPr>
        <w:t> </w:t>
      </w:r>
      <w:r>
        <w:rPr/>
        <w:t>need</w:t>
      </w:r>
      <w:r>
        <w:rPr>
          <w:spacing w:val="-11"/>
        </w:rPr>
        <w:t> </w:t>
      </w:r>
      <w:r>
        <w:rPr/>
        <w:t>of</w:t>
      </w:r>
      <w:r>
        <w:rPr>
          <w:spacing w:val="-12"/>
        </w:rPr>
        <w:t> </w:t>
      </w:r>
      <w:r>
        <w:rPr/>
        <w:t>mental</w:t>
      </w:r>
      <w:r>
        <w:rPr>
          <w:spacing w:val="-11"/>
        </w:rPr>
        <w:t> </w:t>
      </w:r>
      <w:r>
        <w:rPr/>
        <w:t>health</w:t>
      </w:r>
      <w:r>
        <w:rPr>
          <w:spacing w:val="-11"/>
        </w:rPr>
        <w:t> </w:t>
      </w:r>
      <w:r>
        <w:rPr/>
        <w:t>services of some sort: figures as to this are set out, though with the call for more research. Nonetheless, the Committee was able to say</w:t>
      </w:r>
      <w:r>
        <w:rPr>
          <w:spacing w:val="-18"/>
        </w:rPr>
        <w:t> </w:t>
      </w:r>
      <w:r>
        <w:rPr/>
        <w:t>that:</w:t>
      </w:r>
    </w:p>
    <w:p>
      <w:pPr>
        <w:spacing w:before="242"/>
        <w:ind w:left="687" w:right="109" w:firstLine="0"/>
        <w:jc w:val="both"/>
        <w:rPr>
          <w:sz w:val="13"/>
        </w:rPr>
      </w:pPr>
      <w:r>
        <w:rPr>
          <w:sz w:val="20"/>
        </w:rPr>
        <w:t>The greater prevalence of mental ill health and learning disabilities of those in contact with the criminal justice system points to a failing to appropriately address their concerns by the public sector at large. Ultimately it suggests that vulnerable people are being criminalised rather than given the support and treatment that they need.</w:t>
      </w:r>
      <w:hyperlink w:history="true" w:anchor="_bookmark23">
        <w:r>
          <w:rPr>
            <w:position w:val="7"/>
            <w:sz w:val="13"/>
          </w:rPr>
          <w:t>24</w:t>
        </w:r>
      </w:hyperlink>
    </w:p>
    <w:p>
      <w:pPr>
        <w:pStyle w:val="BodyText"/>
        <w:spacing w:before="11"/>
        <w:rPr>
          <w:sz w:val="19"/>
        </w:rPr>
      </w:pPr>
    </w:p>
    <w:p>
      <w:pPr>
        <w:pStyle w:val="BodyText"/>
        <w:spacing w:before="1"/>
        <w:ind w:left="120" w:right="109"/>
        <w:jc w:val="both"/>
      </w:pPr>
      <w:r>
        <w:rPr/>
        <w:t>Similarly, the authors of the Melbourne Social Equity Report note that their specific concerns</w:t>
      </w:r>
      <w:r>
        <w:rPr>
          <w:spacing w:val="-18"/>
        </w:rPr>
        <w:t> </w:t>
      </w:r>
      <w:r>
        <w:rPr/>
        <w:t>about</w:t>
      </w:r>
      <w:r>
        <w:rPr>
          <w:spacing w:val="-18"/>
        </w:rPr>
        <w:t> </w:t>
      </w:r>
      <w:r>
        <w:rPr/>
        <w:t>fitness</w:t>
      </w:r>
      <w:r>
        <w:rPr>
          <w:spacing w:val="-18"/>
        </w:rPr>
        <w:t> </w:t>
      </w:r>
      <w:r>
        <w:rPr/>
        <w:t>to</w:t>
      </w:r>
      <w:r>
        <w:rPr>
          <w:spacing w:val="-17"/>
        </w:rPr>
        <w:t> </w:t>
      </w:r>
      <w:r>
        <w:rPr/>
        <w:t>stand</w:t>
      </w:r>
      <w:r>
        <w:rPr>
          <w:spacing w:val="-17"/>
        </w:rPr>
        <w:t> </w:t>
      </w:r>
      <w:r>
        <w:rPr/>
        <w:t>trial</w:t>
      </w:r>
      <w:r>
        <w:rPr>
          <w:spacing w:val="-17"/>
        </w:rPr>
        <w:t> </w:t>
      </w:r>
      <w:r>
        <w:rPr/>
        <w:t>laws</w:t>
      </w:r>
      <w:r>
        <w:rPr>
          <w:spacing w:val="-18"/>
        </w:rPr>
        <w:t> </w:t>
      </w:r>
      <w:r>
        <w:rPr/>
        <w:t>should</w:t>
      </w:r>
      <w:r>
        <w:rPr>
          <w:spacing w:val="-18"/>
        </w:rPr>
        <w:t> </w:t>
      </w:r>
      <w:r>
        <w:rPr/>
        <w:t>be</w:t>
      </w:r>
      <w:r>
        <w:rPr>
          <w:spacing w:val="-18"/>
        </w:rPr>
        <w:t> </w:t>
      </w:r>
      <w:r>
        <w:rPr/>
        <w:t>viewed</w:t>
      </w:r>
      <w:r>
        <w:rPr>
          <w:spacing w:val="-17"/>
        </w:rPr>
        <w:t> </w:t>
      </w:r>
      <w:r>
        <w:rPr/>
        <w:t>in</w:t>
      </w:r>
      <w:r>
        <w:rPr>
          <w:spacing w:val="-17"/>
        </w:rPr>
        <w:t> </w:t>
      </w:r>
      <w:r>
        <w:rPr/>
        <w:t>the</w:t>
      </w:r>
      <w:r>
        <w:rPr>
          <w:spacing w:val="-18"/>
        </w:rPr>
        <w:t> </w:t>
      </w:r>
      <w:r>
        <w:rPr/>
        <w:t>wider</w:t>
      </w:r>
      <w:r>
        <w:rPr>
          <w:spacing w:val="-17"/>
        </w:rPr>
        <w:t> </w:t>
      </w:r>
      <w:r>
        <w:rPr/>
        <w:t>context,</w:t>
      </w:r>
      <w:r>
        <w:rPr>
          <w:spacing w:val="-17"/>
        </w:rPr>
        <w:t> </w:t>
      </w:r>
      <w:r>
        <w:rPr/>
        <w:t>namely that “A growing body of research indicates that persons with cognitive disabilities are significantly  over-represented  throughout  criminal  justice  systems  of</w:t>
      </w:r>
      <w:r>
        <w:rPr>
          <w:spacing w:val="42"/>
        </w:rPr>
        <w:t> </w:t>
      </w:r>
      <w:r>
        <w:rPr/>
        <w:t>high-income</w:t>
      </w:r>
    </w:p>
    <w:p>
      <w:pPr>
        <w:pStyle w:val="BodyText"/>
        <w:rPr>
          <w:sz w:val="20"/>
        </w:rPr>
      </w:pPr>
    </w:p>
    <w:p>
      <w:pPr>
        <w:pStyle w:val="BodyText"/>
        <w:spacing w:before="5"/>
        <w:rPr>
          <w:sz w:val="12"/>
        </w:rPr>
      </w:pPr>
      <w:r>
        <w:rPr/>
        <w:pict>
          <v:line style="position:absolute;mso-position-horizontal-relative:page;mso-position-vertical-relative:paragraph;z-index:1120;mso-wrap-distance-left:0;mso-wrap-distance-right:0" from="67.019997pt,9.724696pt" to="211.019997pt,9.724696pt" stroked="true" strokeweight=".54pt" strokecolor="#000000">
            <v:stroke dashstyle="solid"/>
            <w10:wrap type="topAndBottom"/>
          </v:line>
        </w:pict>
      </w:r>
    </w:p>
    <w:p>
      <w:pPr>
        <w:spacing w:line="241" w:lineRule="exact" w:before="65"/>
        <w:ind w:left="120" w:right="0" w:firstLine="0"/>
        <w:jc w:val="left"/>
        <w:rPr>
          <w:sz w:val="20"/>
        </w:rPr>
      </w:pPr>
      <w:bookmarkStart w:name="_bookmark20" w:id="22"/>
      <w:bookmarkEnd w:id="22"/>
      <w:r>
        <w:rPr/>
      </w:r>
      <w:r>
        <w:rPr>
          <w:position w:val="7"/>
          <w:sz w:val="13"/>
        </w:rPr>
        <w:t>21 </w:t>
      </w:r>
      <w:r>
        <w:rPr>
          <w:sz w:val="20"/>
        </w:rPr>
        <w:t>ibid pp 68-696, paras 4.24-4.25.</w:t>
      </w:r>
    </w:p>
    <w:p>
      <w:pPr>
        <w:spacing w:line="241" w:lineRule="exact" w:before="0"/>
        <w:ind w:left="120" w:right="0" w:firstLine="0"/>
        <w:jc w:val="left"/>
        <w:rPr>
          <w:sz w:val="20"/>
        </w:rPr>
      </w:pPr>
      <w:bookmarkStart w:name="_bookmark21" w:id="23"/>
      <w:bookmarkEnd w:id="23"/>
      <w:r>
        <w:rPr/>
      </w:r>
      <w:r>
        <w:rPr>
          <w:position w:val="7"/>
          <w:sz w:val="13"/>
        </w:rPr>
        <w:t>22 </w:t>
      </w:r>
      <w:r>
        <w:rPr>
          <w:sz w:val="20"/>
        </w:rPr>
        <w:t>ibid pp 70-73, paras 4.29-4.33.</w:t>
      </w:r>
    </w:p>
    <w:p>
      <w:pPr>
        <w:spacing w:line="241" w:lineRule="exact" w:before="0"/>
        <w:ind w:left="120" w:right="0" w:firstLine="0"/>
        <w:jc w:val="left"/>
        <w:rPr>
          <w:sz w:val="20"/>
        </w:rPr>
      </w:pPr>
      <w:bookmarkStart w:name="_bookmark22" w:id="24"/>
      <w:bookmarkEnd w:id="24"/>
      <w:r>
        <w:rPr/>
      </w:r>
      <w:r>
        <w:rPr>
          <w:position w:val="7"/>
          <w:sz w:val="13"/>
        </w:rPr>
        <w:t>23 </w:t>
      </w:r>
      <w:r>
        <w:rPr>
          <w:sz w:val="20"/>
        </w:rPr>
        <w:t>ibid p 60, para 4.8, and p 74, para 4.34.</w:t>
      </w:r>
    </w:p>
    <w:p>
      <w:pPr>
        <w:spacing w:before="0"/>
        <w:ind w:left="120" w:right="0" w:firstLine="0"/>
        <w:jc w:val="left"/>
        <w:rPr>
          <w:sz w:val="20"/>
        </w:rPr>
      </w:pPr>
      <w:bookmarkStart w:name="_bookmark23" w:id="25"/>
      <w:bookmarkEnd w:id="25"/>
      <w:r>
        <w:rPr/>
      </w:r>
      <w:r>
        <w:rPr>
          <w:position w:val="7"/>
          <w:sz w:val="13"/>
        </w:rPr>
        <w:t>24 </w:t>
      </w:r>
      <w:r>
        <w:rPr>
          <w:sz w:val="20"/>
        </w:rPr>
        <w:t>ibid p 13, para 1.6.</w:t>
      </w:r>
    </w:p>
    <w:p>
      <w:pPr>
        <w:spacing w:after="0"/>
        <w:jc w:val="left"/>
        <w:rPr>
          <w:sz w:val="20"/>
        </w:rPr>
        <w:sectPr>
          <w:pgSz w:w="11910" w:h="16840"/>
          <w:pgMar w:header="763" w:footer="1025" w:top="980" w:bottom="1220" w:left="1220" w:right="1320"/>
        </w:sectPr>
      </w:pPr>
    </w:p>
    <w:p>
      <w:pPr>
        <w:pStyle w:val="BodyText"/>
        <w:spacing w:before="4"/>
        <w:rPr>
          <w:sz w:val="21"/>
        </w:rPr>
      </w:pPr>
    </w:p>
    <w:p>
      <w:pPr>
        <w:pStyle w:val="BodyText"/>
        <w:spacing w:before="100"/>
        <w:ind w:left="120" w:right="232"/>
        <w:jc w:val="both"/>
        <w:rPr>
          <w:sz w:val="16"/>
        </w:rPr>
      </w:pPr>
      <w:r>
        <w:rPr/>
        <w:t>countries,</w:t>
      </w:r>
      <w:r>
        <w:rPr>
          <w:spacing w:val="-13"/>
        </w:rPr>
        <w:t> </w:t>
      </w:r>
      <w:r>
        <w:rPr/>
        <w:t>including</w:t>
      </w:r>
      <w:r>
        <w:rPr>
          <w:spacing w:val="-12"/>
        </w:rPr>
        <w:t> </w:t>
      </w:r>
      <w:r>
        <w:rPr/>
        <w:t>Australia”</w:t>
      </w:r>
      <w:r>
        <w:rPr>
          <w:spacing w:val="-13"/>
        </w:rPr>
        <w:t> </w:t>
      </w:r>
      <w:r>
        <w:rPr/>
        <w:t>(and</w:t>
      </w:r>
      <w:r>
        <w:rPr>
          <w:spacing w:val="-12"/>
        </w:rPr>
        <w:t> </w:t>
      </w:r>
      <w:r>
        <w:rPr/>
        <w:t>details</w:t>
      </w:r>
      <w:r>
        <w:rPr>
          <w:spacing w:val="-13"/>
        </w:rPr>
        <w:t> </w:t>
      </w:r>
      <w:r>
        <w:rPr/>
        <w:t>relating</w:t>
      </w:r>
      <w:r>
        <w:rPr>
          <w:spacing w:val="-13"/>
        </w:rPr>
        <w:t> </w:t>
      </w:r>
      <w:r>
        <w:rPr/>
        <w:t>to</w:t>
      </w:r>
      <w:r>
        <w:rPr>
          <w:spacing w:val="-12"/>
        </w:rPr>
        <w:t> </w:t>
      </w:r>
      <w:r>
        <w:rPr/>
        <w:t>this</w:t>
      </w:r>
      <w:r>
        <w:rPr>
          <w:spacing w:val="-13"/>
        </w:rPr>
        <w:t> </w:t>
      </w:r>
      <w:r>
        <w:rPr/>
        <w:t>are</w:t>
      </w:r>
      <w:r>
        <w:rPr>
          <w:spacing w:val="-13"/>
        </w:rPr>
        <w:t> </w:t>
      </w:r>
      <w:r>
        <w:rPr/>
        <w:t>set</w:t>
      </w:r>
      <w:r>
        <w:rPr>
          <w:spacing w:val="-12"/>
        </w:rPr>
        <w:t> </w:t>
      </w:r>
      <w:r>
        <w:rPr/>
        <w:t>out,</w:t>
      </w:r>
      <w:r>
        <w:rPr>
          <w:spacing w:val="-13"/>
        </w:rPr>
        <w:t> </w:t>
      </w:r>
      <w:r>
        <w:rPr/>
        <w:t>supplemented</w:t>
      </w:r>
      <w:r>
        <w:rPr>
          <w:spacing w:val="-12"/>
        </w:rPr>
        <w:t> </w:t>
      </w:r>
      <w:r>
        <w:rPr/>
        <w:t>by the intersectional problem for indigenous</w:t>
      </w:r>
      <w:r>
        <w:rPr>
          <w:spacing w:val="-11"/>
        </w:rPr>
        <w:t> </w:t>
      </w:r>
      <w:r>
        <w:rPr/>
        <w:t>people).</w:t>
      </w:r>
      <w:hyperlink w:history="true" w:anchor="_bookmark24">
        <w:r>
          <w:rPr>
            <w:position w:val="8"/>
            <w:sz w:val="16"/>
          </w:rPr>
          <w:t>25</w:t>
        </w:r>
      </w:hyperlink>
    </w:p>
    <w:p>
      <w:pPr>
        <w:pStyle w:val="BodyText"/>
        <w:spacing w:before="11"/>
        <w:rPr>
          <w:sz w:val="23"/>
        </w:rPr>
      </w:pPr>
    </w:p>
    <w:p>
      <w:pPr>
        <w:pStyle w:val="BodyText"/>
        <w:spacing w:before="1"/>
        <w:ind w:left="120" w:right="229"/>
        <w:jc w:val="both"/>
      </w:pPr>
      <w:r>
        <w:rPr/>
        <w:t>Both reports, which contain a wealth of references to other relevant research, make recommendations that ought to be taken seriously. They suggest and justify changes that should be considered across jurisdictions as efforts are made to improve the situation for defendants who are vulnerable but have the same right to access justice as anyone else. One can only hope that they do not get placed on the special shelf</w:t>
      </w:r>
      <w:r>
        <w:rPr>
          <w:spacing w:val="-42"/>
        </w:rPr>
        <w:t> </w:t>
      </w:r>
      <w:r>
        <w:rPr/>
        <w:t>for worthy reports that are welcomed but never actioned. Fortunately, the Committee on the</w:t>
      </w:r>
      <w:r>
        <w:rPr>
          <w:spacing w:val="-12"/>
        </w:rPr>
        <w:t> </w:t>
      </w:r>
      <w:r>
        <w:rPr/>
        <w:t>Rights</w:t>
      </w:r>
      <w:r>
        <w:rPr>
          <w:spacing w:val="-14"/>
        </w:rPr>
        <w:t> </w:t>
      </w:r>
      <w:r>
        <w:rPr/>
        <w:t>of</w:t>
      </w:r>
      <w:r>
        <w:rPr>
          <w:spacing w:val="-12"/>
        </w:rPr>
        <w:t> </w:t>
      </w:r>
      <w:r>
        <w:rPr/>
        <w:t>Persons</w:t>
      </w:r>
      <w:r>
        <w:rPr>
          <w:spacing w:val="-13"/>
        </w:rPr>
        <w:t> </w:t>
      </w:r>
      <w:r>
        <w:rPr/>
        <w:t>with</w:t>
      </w:r>
      <w:r>
        <w:rPr>
          <w:spacing w:val="-12"/>
        </w:rPr>
        <w:t> </w:t>
      </w:r>
      <w:r>
        <w:rPr/>
        <w:t>Disabilities</w:t>
      </w:r>
      <w:r>
        <w:rPr>
          <w:spacing w:val="-12"/>
        </w:rPr>
        <w:t> </w:t>
      </w:r>
      <w:r>
        <w:rPr/>
        <w:t>will</w:t>
      </w:r>
      <w:r>
        <w:rPr>
          <w:spacing w:val="-13"/>
        </w:rPr>
        <w:t> </w:t>
      </w:r>
      <w:r>
        <w:rPr/>
        <w:t>provide</w:t>
      </w:r>
      <w:r>
        <w:rPr>
          <w:spacing w:val="-12"/>
        </w:rPr>
        <w:t> </w:t>
      </w:r>
      <w:r>
        <w:rPr/>
        <w:t>a</w:t>
      </w:r>
      <w:r>
        <w:rPr>
          <w:spacing w:val="-12"/>
        </w:rPr>
        <w:t> </w:t>
      </w:r>
      <w:r>
        <w:rPr/>
        <w:t>constant</w:t>
      </w:r>
      <w:r>
        <w:rPr>
          <w:spacing w:val="-11"/>
        </w:rPr>
        <w:t> </w:t>
      </w:r>
      <w:r>
        <w:rPr/>
        <w:t>reminder</w:t>
      </w:r>
      <w:r>
        <w:rPr>
          <w:spacing w:val="-11"/>
        </w:rPr>
        <w:t> </w:t>
      </w:r>
      <w:r>
        <w:rPr/>
        <w:t>that</w:t>
      </w:r>
      <w:r>
        <w:rPr>
          <w:spacing w:val="-12"/>
        </w:rPr>
        <w:t> </w:t>
      </w:r>
      <w:r>
        <w:rPr/>
        <w:t>things</w:t>
      </w:r>
      <w:r>
        <w:rPr>
          <w:spacing w:val="-13"/>
        </w:rPr>
        <w:t> </w:t>
      </w:r>
      <w:r>
        <w:rPr/>
        <w:t>need to be made better, which can only increase the chance of</w:t>
      </w:r>
      <w:r>
        <w:rPr>
          <w:spacing w:val="-22"/>
        </w:rPr>
        <w:t> </w:t>
      </w:r>
      <w:r>
        <w:rPr/>
        <w:t>action.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0"/>
        </w:rPr>
      </w:pPr>
      <w:r>
        <w:rPr/>
        <w:pict>
          <v:line style="position:absolute;mso-position-horizontal-relative:page;mso-position-vertical-relative:paragraph;z-index:1144;mso-wrap-distance-left:0;mso-wrap-distance-right:0" from="67.019997pt,14.539524pt" to="211.019997pt,14.539524pt" stroked="true" strokeweight=".54pt" strokecolor="#000000">
            <v:stroke dashstyle="solid"/>
            <w10:wrap type="topAndBottom"/>
          </v:line>
        </w:pict>
      </w:r>
    </w:p>
    <w:p>
      <w:pPr>
        <w:spacing w:line="232" w:lineRule="auto" w:before="62"/>
        <w:ind w:left="346" w:right="116" w:hanging="227"/>
        <w:jc w:val="both"/>
        <w:rPr>
          <w:sz w:val="20"/>
        </w:rPr>
      </w:pPr>
      <w:bookmarkStart w:name="_bookmark24" w:id="26"/>
      <w:bookmarkEnd w:id="26"/>
      <w:r>
        <w:rPr/>
      </w:r>
      <w:r>
        <w:rPr>
          <w:position w:val="7"/>
          <w:sz w:val="13"/>
        </w:rPr>
        <w:t>25</w:t>
      </w:r>
      <w:r>
        <w:rPr>
          <w:spacing w:val="-5"/>
          <w:position w:val="7"/>
          <w:sz w:val="13"/>
        </w:rPr>
        <w:t> </w:t>
      </w:r>
      <w:r>
        <w:rPr>
          <w:sz w:val="20"/>
        </w:rPr>
        <w:t>McSherry</w:t>
      </w:r>
      <w:r>
        <w:rPr>
          <w:spacing w:val="-7"/>
          <w:sz w:val="20"/>
        </w:rPr>
        <w:t> </w:t>
      </w:r>
      <w:r>
        <w:rPr>
          <w:sz w:val="20"/>
        </w:rPr>
        <w:t>B,</w:t>
      </w:r>
      <w:r>
        <w:rPr>
          <w:spacing w:val="-7"/>
          <w:sz w:val="20"/>
        </w:rPr>
        <w:t> </w:t>
      </w:r>
      <w:r>
        <w:rPr>
          <w:sz w:val="20"/>
        </w:rPr>
        <w:t>Baldry</w:t>
      </w:r>
      <w:r>
        <w:rPr>
          <w:spacing w:val="-7"/>
          <w:sz w:val="20"/>
        </w:rPr>
        <w:t> </w:t>
      </w:r>
      <w:r>
        <w:rPr>
          <w:sz w:val="20"/>
        </w:rPr>
        <w:t>E,</w:t>
      </w:r>
      <w:r>
        <w:rPr>
          <w:spacing w:val="-6"/>
          <w:sz w:val="20"/>
        </w:rPr>
        <w:t> </w:t>
      </w:r>
      <w:r>
        <w:rPr>
          <w:sz w:val="20"/>
        </w:rPr>
        <w:t>Arstein-Kerslake</w:t>
      </w:r>
      <w:r>
        <w:rPr>
          <w:spacing w:val="-8"/>
          <w:sz w:val="20"/>
        </w:rPr>
        <w:t> </w:t>
      </w:r>
      <w:r>
        <w:rPr>
          <w:sz w:val="20"/>
        </w:rPr>
        <w:t>A,</w:t>
      </w:r>
      <w:r>
        <w:rPr>
          <w:spacing w:val="-6"/>
          <w:sz w:val="20"/>
        </w:rPr>
        <w:t> </w:t>
      </w:r>
      <w:r>
        <w:rPr>
          <w:sz w:val="20"/>
        </w:rPr>
        <w:t>Gooding</w:t>
      </w:r>
      <w:r>
        <w:rPr>
          <w:spacing w:val="-7"/>
          <w:sz w:val="20"/>
        </w:rPr>
        <w:t> </w:t>
      </w:r>
      <w:r>
        <w:rPr>
          <w:sz w:val="20"/>
        </w:rPr>
        <w:t>P,</w:t>
      </w:r>
      <w:r>
        <w:rPr>
          <w:spacing w:val="-7"/>
          <w:sz w:val="20"/>
        </w:rPr>
        <w:t> </w:t>
      </w:r>
      <w:r>
        <w:rPr>
          <w:sz w:val="20"/>
        </w:rPr>
        <w:t>McCausland</w:t>
      </w:r>
      <w:r>
        <w:rPr>
          <w:spacing w:val="-9"/>
          <w:sz w:val="20"/>
        </w:rPr>
        <w:t> </w:t>
      </w:r>
      <w:r>
        <w:rPr>
          <w:sz w:val="20"/>
        </w:rPr>
        <w:t>R</w:t>
      </w:r>
      <w:r>
        <w:rPr>
          <w:spacing w:val="-6"/>
          <w:sz w:val="20"/>
        </w:rPr>
        <w:t> </w:t>
      </w:r>
      <w:r>
        <w:rPr>
          <w:sz w:val="20"/>
        </w:rPr>
        <w:t>and</w:t>
      </w:r>
      <w:r>
        <w:rPr>
          <w:spacing w:val="-7"/>
          <w:sz w:val="20"/>
        </w:rPr>
        <w:t> </w:t>
      </w:r>
      <w:r>
        <w:rPr>
          <w:sz w:val="20"/>
        </w:rPr>
        <w:t>Arabena</w:t>
      </w:r>
      <w:r>
        <w:rPr>
          <w:spacing w:val="-6"/>
          <w:sz w:val="20"/>
        </w:rPr>
        <w:t> </w:t>
      </w:r>
      <w:r>
        <w:rPr>
          <w:sz w:val="20"/>
        </w:rPr>
        <w:t>K,</w:t>
      </w:r>
      <w:r>
        <w:rPr>
          <w:spacing w:val="-7"/>
          <w:sz w:val="20"/>
        </w:rPr>
        <w:t> </w:t>
      </w:r>
      <w:r>
        <w:rPr>
          <w:i/>
          <w:sz w:val="21"/>
        </w:rPr>
        <w:t>Unfitness</w:t>
      </w:r>
      <w:r>
        <w:rPr>
          <w:i/>
          <w:spacing w:val="-10"/>
          <w:sz w:val="21"/>
        </w:rPr>
        <w:t> </w:t>
      </w:r>
      <w:r>
        <w:rPr>
          <w:i/>
          <w:sz w:val="21"/>
        </w:rPr>
        <w:t>to</w:t>
      </w:r>
      <w:r>
        <w:rPr>
          <w:i/>
          <w:spacing w:val="-9"/>
          <w:sz w:val="21"/>
        </w:rPr>
        <w:t> </w:t>
      </w:r>
      <w:r>
        <w:rPr>
          <w:i/>
          <w:sz w:val="21"/>
        </w:rPr>
        <w:t>Plead and Indefinite Detention of Persons with Cognitive Disabilities</w:t>
      </w:r>
      <w:r>
        <w:rPr>
          <w:sz w:val="20"/>
        </w:rPr>
        <w:t>, Melbourne: Melbourne Social Equity Institute, 2017,</w:t>
      </w:r>
      <w:r>
        <w:rPr>
          <w:spacing w:val="-14"/>
          <w:sz w:val="20"/>
        </w:rPr>
        <w:t> </w:t>
      </w:r>
      <w:r>
        <w:rPr>
          <w:sz w:val="20"/>
        </w:rPr>
        <w:t>13-14.</w:t>
      </w:r>
    </w:p>
    <w:sectPr>
      <w:pgSz w:w="11910" w:h="16840"/>
      <w:pgMar w:header="763" w:footer="1025" w:top="980" w:bottom="1220" w:left="122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Palatino Linotype">
    <w:altName w:val="Palatino Linotype"/>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760010pt;margin-top:779.705994pt;width:19pt;height:12.2pt;mso-position-horizontal-relative:page;mso-position-vertical-relative:page;z-index:-6640" type="#_x0000_t202" filled="false" stroked="false">
          <v:textbox inset="0,0,0,0">
            <w:txbxContent>
              <w:p>
                <w:pPr>
                  <w:spacing w:line="227" w:lineRule="exact" w:before="0"/>
                  <w:ind w:left="40" w:right="0" w:firstLine="0"/>
                  <w:jc w:val="left"/>
                  <w:rPr>
                    <w:rFonts w:ascii="Palatino Linotype"/>
                    <w:sz w:val="20"/>
                  </w:rPr>
                </w:pPr>
                <w:r>
                  <w:rPr/>
                  <w:fldChar w:fldCharType="begin"/>
                </w:r>
                <w:r>
                  <w:rPr>
                    <w:rFonts w:ascii="Palatino Linotype"/>
                    <w:sz w:val="20"/>
                  </w:rPr>
                  <w:instrText> PAGE </w:instrText>
                </w:r>
                <w:r>
                  <w:rPr/>
                  <w:fldChar w:fldCharType="separate"/>
                </w:r>
                <w:r>
                  <w:rPr/>
                  <w:t>144</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55pt;margin-top:37.144981pt;width:284.95pt;height:13pt;mso-position-horizontal-relative:page;mso-position-vertical-relative:page;z-index:-6664" type="#_x0000_t202" filled="false" stroked="false">
          <v:textbox inset="0,0,0,0">
            <w:txbxContent>
              <w:p>
                <w:pPr>
                  <w:spacing w:line="244" w:lineRule="exact" w:before="0"/>
                  <w:ind w:left="20" w:right="0" w:firstLine="0"/>
                  <w:jc w:val="left"/>
                  <w:rPr>
                    <w:rFonts w:ascii="Calibri"/>
                    <w:sz w:val="22"/>
                  </w:rPr>
                </w:pPr>
                <w:r>
                  <w:rPr>
                    <w:rFonts w:ascii="Calibri"/>
                    <w:sz w:val="22"/>
                  </w:rPr>
                  <w:t>[2017] International Journal of Mental Health and Capacity Law</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328"/>
        <w:jc w:val="left"/>
      </w:pPr>
      <w:rPr>
        <w:rFonts w:hint="default" w:ascii="Tahoma" w:hAnsi="Tahoma" w:eastAsia="Tahoma" w:cs="Tahoma"/>
        <w:spacing w:val="-28"/>
        <w:w w:val="95"/>
        <w:sz w:val="24"/>
        <w:szCs w:val="24"/>
      </w:rPr>
    </w:lvl>
    <w:lvl w:ilvl="1">
      <w:start w:val="0"/>
      <w:numFmt w:val="bullet"/>
      <w:lvlText w:val="•"/>
      <w:lvlJc w:val="left"/>
      <w:pPr>
        <w:ind w:left="1705" w:hanging="328"/>
      </w:pPr>
      <w:rPr>
        <w:rFonts w:hint="default"/>
      </w:rPr>
    </w:lvl>
    <w:lvl w:ilvl="2">
      <w:start w:val="0"/>
      <w:numFmt w:val="bullet"/>
      <w:lvlText w:val="•"/>
      <w:lvlJc w:val="left"/>
      <w:pPr>
        <w:ind w:left="2570" w:hanging="328"/>
      </w:pPr>
      <w:rPr>
        <w:rFonts w:hint="default"/>
      </w:rPr>
    </w:lvl>
    <w:lvl w:ilvl="3">
      <w:start w:val="0"/>
      <w:numFmt w:val="bullet"/>
      <w:lvlText w:val="•"/>
      <w:lvlJc w:val="left"/>
      <w:pPr>
        <w:ind w:left="3435" w:hanging="328"/>
      </w:pPr>
      <w:rPr>
        <w:rFonts w:hint="default"/>
      </w:rPr>
    </w:lvl>
    <w:lvl w:ilvl="4">
      <w:start w:val="0"/>
      <w:numFmt w:val="bullet"/>
      <w:lvlText w:val="•"/>
      <w:lvlJc w:val="left"/>
      <w:pPr>
        <w:ind w:left="4300" w:hanging="328"/>
      </w:pPr>
      <w:rPr>
        <w:rFonts w:hint="default"/>
      </w:rPr>
    </w:lvl>
    <w:lvl w:ilvl="5">
      <w:start w:val="0"/>
      <w:numFmt w:val="bullet"/>
      <w:lvlText w:val="•"/>
      <w:lvlJc w:val="left"/>
      <w:pPr>
        <w:ind w:left="5165" w:hanging="328"/>
      </w:pPr>
      <w:rPr>
        <w:rFonts w:hint="default"/>
      </w:rPr>
    </w:lvl>
    <w:lvl w:ilvl="6">
      <w:start w:val="0"/>
      <w:numFmt w:val="bullet"/>
      <w:lvlText w:val="•"/>
      <w:lvlJc w:val="left"/>
      <w:pPr>
        <w:ind w:left="6030" w:hanging="328"/>
      </w:pPr>
      <w:rPr>
        <w:rFonts w:hint="default"/>
      </w:rPr>
    </w:lvl>
    <w:lvl w:ilvl="7">
      <w:start w:val="0"/>
      <w:numFmt w:val="bullet"/>
      <w:lvlText w:val="•"/>
      <w:lvlJc w:val="left"/>
      <w:pPr>
        <w:ind w:left="6895" w:hanging="328"/>
      </w:pPr>
      <w:rPr>
        <w:rFonts w:hint="default"/>
      </w:rPr>
    </w:lvl>
    <w:lvl w:ilvl="8">
      <w:start w:val="0"/>
      <w:numFmt w:val="bullet"/>
      <w:lvlText w:val="•"/>
      <w:lvlJc w:val="left"/>
      <w:pPr>
        <w:ind w:left="7760" w:hanging="32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rPr>
  </w:style>
  <w:style w:styleId="BodyText" w:type="paragraph">
    <w:name w:val="Body Text"/>
    <w:basedOn w:val="Normal"/>
    <w:uiPriority w:val="1"/>
    <w:qFormat/>
    <w:pPr/>
    <w:rPr>
      <w:rFonts w:ascii="Tahoma" w:hAnsi="Tahoma" w:eastAsia="Tahoma" w:cs="Tahoma"/>
      <w:sz w:val="24"/>
      <w:szCs w:val="24"/>
    </w:rPr>
  </w:style>
  <w:style w:styleId="ListParagraph" w:type="paragraph">
    <w:name w:val="List Paragraph"/>
    <w:basedOn w:val="Normal"/>
    <w:uiPriority w:val="1"/>
    <w:qFormat/>
    <w:pPr>
      <w:ind w:left="840" w:hanging="280"/>
      <w:jc w:val="both"/>
    </w:pPr>
    <w:rPr>
      <w:rFonts w:ascii="Tahoma" w:hAnsi="Tahoma" w:eastAsia="Tahoma" w:cs="Tahom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ohchr.org/EN/HRBodies/CRPD/Pages/CRPDIndex.aspx"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Adamson</dc:creator>
  <dcterms:created xsi:type="dcterms:W3CDTF">2018-03-13T10:18:44Z</dcterms:created>
  <dcterms:modified xsi:type="dcterms:W3CDTF">2018-03-13T10:18:44Z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Creator">
    <vt:lpwstr>Acrobat PDFMaker 17 for Word</vt:lpwstr>
  </property>
  <property fmtid="{D5CDD505-2E9C-101B-9397-08002B2CF9AE}" pid="4" name="LastSaved">
    <vt:filetime>2018-03-13T00:00:00Z</vt:filetime>
  </property>
</Properties>
</file>