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06" w:rsidRPr="00575306" w:rsidRDefault="00575306" w:rsidP="00575306">
      <w:pPr>
        <w:rPr>
          <w:sz w:val="56"/>
          <w:szCs w:val="56"/>
        </w:rPr>
      </w:pPr>
      <w:r w:rsidRPr="00575306">
        <w:rPr>
          <w:sz w:val="56"/>
          <w:szCs w:val="56"/>
        </w:rPr>
        <w:t>Foreword</w:t>
      </w:r>
    </w:p>
    <w:p w:rsidR="00575306" w:rsidRPr="00575306" w:rsidRDefault="00575306" w:rsidP="00575306">
      <w:r w:rsidRPr="00575306">
        <w:t>In the Foreword to the May 2007 issue, I said of the perceived ‘stand-off’ between the House of Lords and</w:t>
      </w:r>
      <w:r>
        <w:t xml:space="preserve"> </w:t>
      </w:r>
      <w:r w:rsidRPr="00575306">
        <w:t xml:space="preserve">the House of Commons in respect of the </w:t>
      </w:r>
      <w:r w:rsidRPr="00575306">
        <w:rPr>
          <w:i/>
          <w:iCs/>
        </w:rPr>
        <w:t>Mental Health Bill 2006</w:t>
      </w:r>
      <w:r w:rsidRPr="00575306">
        <w:t>, as follows:</w:t>
      </w:r>
    </w:p>
    <w:p w:rsidR="00575306" w:rsidRPr="00575306" w:rsidRDefault="00575306" w:rsidP="00575306">
      <w:pPr>
        <w:ind w:left="567" w:right="521"/>
        <w:rPr>
          <w:i/>
          <w:iCs/>
        </w:rPr>
      </w:pPr>
      <w:r w:rsidRPr="00575306">
        <w:rPr>
          <w:i/>
          <w:iCs/>
        </w:rPr>
        <w:t xml:space="preserve">“It seems probable that parliamentary </w:t>
      </w:r>
      <w:proofErr w:type="spellStart"/>
      <w:r w:rsidRPr="00575306">
        <w:rPr>
          <w:i/>
          <w:iCs/>
        </w:rPr>
        <w:t>ping-pong</w:t>
      </w:r>
      <w:proofErr w:type="spellEnd"/>
      <w:r w:rsidRPr="00575306">
        <w:rPr>
          <w:i/>
          <w:iCs/>
        </w:rPr>
        <w:t xml:space="preserve"> between the two chambers will continue during the</w:t>
      </w:r>
      <w:r>
        <w:rPr>
          <w:i/>
          <w:iCs/>
        </w:rPr>
        <w:t xml:space="preserve"> </w:t>
      </w:r>
      <w:r w:rsidRPr="00575306">
        <w:rPr>
          <w:i/>
          <w:iCs/>
        </w:rPr>
        <w:t>remainder of the parliamentary session, and the final form of the Bill is far from clear.”</w:t>
      </w:r>
    </w:p>
    <w:p w:rsidR="00575306" w:rsidRPr="00575306" w:rsidRDefault="00575306" w:rsidP="00575306">
      <w:r w:rsidRPr="00575306">
        <w:t>I was wrong. As readers will be well aware, the ‘</w:t>
      </w:r>
      <w:proofErr w:type="spellStart"/>
      <w:r w:rsidRPr="00575306">
        <w:t>ping-pong</w:t>
      </w:r>
      <w:proofErr w:type="spellEnd"/>
      <w:r w:rsidRPr="00575306">
        <w:t>’ hardly materialised, and on 19th July 2007, the</w:t>
      </w:r>
      <w:r>
        <w:t xml:space="preserve"> </w:t>
      </w:r>
      <w:r w:rsidRPr="00575306">
        <w:rPr>
          <w:i/>
          <w:iCs/>
        </w:rPr>
        <w:t xml:space="preserve">Mental Health Act 2007 </w:t>
      </w:r>
      <w:r w:rsidRPr="00575306">
        <w:t>(‘the 2007 Act’) received the Royal Assent. A process which had started with the</w:t>
      </w:r>
      <w:r>
        <w:t xml:space="preserve"> </w:t>
      </w:r>
      <w:r w:rsidRPr="00575306">
        <w:t xml:space="preserve">appointment of the Expert Committee under Professor </w:t>
      </w:r>
      <w:proofErr w:type="spellStart"/>
      <w:r w:rsidRPr="00575306">
        <w:t>Genevra</w:t>
      </w:r>
      <w:proofErr w:type="spellEnd"/>
      <w:r w:rsidRPr="00575306">
        <w:t xml:space="preserve"> Richardson way back in October 1998</w:t>
      </w:r>
      <w:r w:rsidR="00574A10">
        <w:rPr>
          <w:rStyle w:val="FootnoteReference"/>
        </w:rPr>
        <w:footnoteReference w:id="1"/>
      </w:r>
      <w:proofErr w:type="gramStart"/>
      <w:r w:rsidRPr="00575306">
        <w:t>,</w:t>
      </w:r>
      <w:proofErr w:type="gramEnd"/>
      <w:r w:rsidRPr="00575306">
        <w:t xml:space="preserve"> was</w:t>
      </w:r>
      <w:r>
        <w:t xml:space="preserve"> </w:t>
      </w:r>
      <w:r w:rsidRPr="00575306">
        <w:t>finally concluded.</w:t>
      </w:r>
    </w:p>
    <w:p w:rsidR="00575306" w:rsidRPr="00575306" w:rsidRDefault="00575306" w:rsidP="00575306">
      <w:r w:rsidRPr="00575306">
        <w:t xml:space="preserve">The 2007 Act amends the </w:t>
      </w:r>
      <w:r w:rsidRPr="00575306">
        <w:rPr>
          <w:i/>
          <w:iCs/>
        </w:rPr>
        <w:t xml:space="preserve">Mental Health Act 1983 </w:t>
      </w:r>
      <w:r w:rsidRPr="00575306">
        <w:t xml:space="preserve">(‘MHA 1983’), the </w:t>
      </w:r>
      <w:r w:rsidRPr="00575306">
        <w:rPr>
          <w:i/>
          <w:iCs/>
        </w:rPr>
        <w:t xml:space="preserve">Mental Capacity Act 2005 </w:t>
      </w:r>
      <w:r w:rsidRPr="00575306">
        <w:t>(‘MCA</w:t>
      </w:r>
      <w:r>
        <w:t xml:space="preserve"> </w:t>
      </w:r>
      <w:r w:rsidRPr="00575306">
        <w:t xml:space="preserve">2005’) and the </w:t>
      </w:r>
      <w:r w:rsidRPr="00575306">
        <w:rPr>
          <w:i/>
          <w:iCs/>
        </w:rPr>
        <w:t>Domestic Violence, Crime and Victims Act 2004</w:t>
      </w:r>
      <w:r w:rsidRPr="00575306">
        <w:t>. It brings in very significant changes to legal</w:t>
      </w:r>
      <w:r>
        <w:t xml:space="preserve"> </w:t>
      </w:r>
      <w:r w:rsidRPr="00575306">
        <w:t>provisions within the MHA 1983 for the compulsory detention, supervision and treatment of people suffering</w:t>
      </w:r>
      <w:r>
        <w:t xml:space="preserve"> </w:t>
      </w:r>
      <w:r w:rsidRPr="00575306">
        <w:t>from mental disorders. The substantial amendment made to the MCA 2005 is intended to meet the concerns</w:t>
      </w:r>
      <w:r>
        <w:t xml:space="preserve"> </w:t>
      </w:r>
      <w:r w:rsidRPr="00575306">
        <w:t>of the European Court of Human Rights in the ‘</w:t>
      </w:r>
      <w:proofErr w:type="spellStart"/>
      <w:r w:rsidRPr="00575306">
        <w:t>Bournewood</w:t>
      </w:r>
      <w:proofErr w:type="spellEnd"/>
      <w:r w:rsidRPr="00575306">
        <w:t xml:space="preserve">’ case, </w:t>
      </w:r>
      <w:r w:rsidRPr="00575306">
        <w:rPr>
          <w:i/>
          <w:iCs/>
        </w:rPr>
        <w:t>H.L. v U.K.</w:t>
      </w:r>
      <w:r w:rsidR="00574A10">
        <w:rPr>
          <w:rStyle w:val="FootnoteReference"/>
          <w:i/>
          <w:iCs/>
        </w:rPr>
        <w:footnoteReference w:id="2"/>
      </w:r>
      <w:r w:rsidRPr="00575306">
        <w:t>. For those engaged in the</w:t>
      </w:r>
      <w:r>
        <w:t xml:space="preserve"> </w:t>
      </w:r>
      <w:r w:rsidRPr="00575306">
        <w:t>mental health field, be it as lawyers, doctors, nurses, social workers or in some other professional role, or as</w:t>
      </w:r>
      <w:r>
        <w:t xml:space="preserve"> </w:t>
      </w:r>
      <w:r w:rsidRPr="00575306">
        <w:t>service users, carers or family members, there is a great deal to take on board before most of these provisions</w:t>
      </w:r>
      <w:r>
        <w:t xml:space="preserve"> </w:t>
      </w:r>
      <w:r w:rsidRPr="00575306">
        <w:t>are implemented on the intended date of October 2008</w:t>
      </w:r>
      <w:r w:rsidR="00574A10">
        <w:rPr>
          <w:rStyle w:val="FootnoteReference"/>
        </w:rPr>
        <w:footnoteReference w:id="3"/>
      </w:r>
      <w:r w:rsidRPr="00575306">
        <w:t>. Much of the contents of this issue of the JMHL will</w:t>
      </w:r>
      <w:r>
        <w:t xml:space="preserve"> </w:t>
      </w:r>
      <w:r w:rsidRPr="00575306">
        <w:t>hopefully assist readers who need to get to grips with the changes ahead.</w:t>
      </w:r>
    </w:p>
    <w:p w:rsidR="00575306" w:rsidRPr="00575306" w:rsidRDefault="00575306" w:rsidP="00575306">
      <w:r w:rsidRPr="00575306">
        <w:t xml:space="preserve">Speaking of the Code of Practice to the MHA 1983, Lord Bingham in </w:t>
      </w:r>
      <w:proofErr w:type="spellStart"/>
      <w:r w:rsidRPr="00575306">
        <w:rPr>
          <w:i/>
          <w:iCs/>
        </w:rPr>
        <w:t>Munjaz</w:t>
      </w:r>
      <w:proofErr w:type="spellEnd"/>
      <w:r w:rsidR="00574A10">
        <w:rPr>
          <w:rStyle w:val="FootnoteReference"/>
          <w:i/>
          <w:iCs/>
        </w:rPr>
        <w:footnoteReference w:id="4"/>
      </w:r>
      <w:r w:rsidRPr="00575306">
        <w:t xml:space="preserve"> said:</w:t>
      </w:r>
    </w:p>
    <w:p w:rsidR="00575306" w:rsidRPr="00575306" w:rsidRDefault="00575306" w:rsidP="00575306">
      <w:pPr>
        <w:ind w:left="567" w:right="521"/>
      </w:pPr>
      <w:r w:rsidRPr="00575306">
        <w:t xml:space="preserve">“It is </w:t>
      </w:r>
      <w:r w:rsidRPr="00575306">
        <w:rPr>
          <w:i/>
          <w:iCs/>
        </w:rPr>
        <w:t>guidance, not instruction</w:t>
      </w:r>
      <w:r w:rsidRPr="00575306">
        <w:t>… but it is much more than mere advice which an addressee is free</w:t>
      </w:r>
      <w:r>
        <w:t xml:space="preserve"> </w:t>
      </w:r>
      <w:r w:rsidRPr="00575306">
        <w:t>to follow or not as it chooses. It is guidance which any hospital should consider with great care,</w:t>
      </w:r>
      <w:r>
        <w:t xml:space="preserve"> </w:t>
      </w:r>
      <w:r w:rsidRPr="00575306">
        <w:t xml:space="preserve">and from which it should depart </w:t>
      </w:r>
      <w:r w:rsidRPr="00575306">
        <w:rPr>
          <w:i/>
          <w:iCs/>
        </w:rPr>
        <w:t>only if it has cogent reasons for doing so…</w:t>
      </w:r>
      <w:r w:rsidRPr="00575306">
        <w:t>”</w:t>
      </w:r>
    </w:p>
    <w:p w:rsidR="00575306" w:rsidRPr="00575306" w:rsidRDefault="00575306" w:rsidP="00575306">
      <w:r w:rsidRPr="00575306">
        <w:t>Increasingly I am viewing the directive on the inside cover of this Journal that “articles should be a maximum</w:t>
      </w:r>
      <w:r>
        <w:t xml:space="preserve"> </w:t>
      </w:r>
      <w:r w:rsidRPr="00575306">
        <w:t>of 5000 words”, as ‘guidance not instruction’ and permitting deviation if there are ‘cogent reasons for doing</w:t>
      </w:r>
      <w:r>
        <w:t xml:space="preserve"> </w:t>
      </w:r>
      <w:r w:rsidRPr="00575306">
        <w:t>so’. I hope readers will agree that the subject-matter of the two opening articles in this issue fully justify the</w:t>
      </w:r>
      <w:r>
        <w:t xml:space="preserve"> </w:t>
      </w:r>
      <w:r w:rsidRPr="00575306">
        <w:t>permission given to Rowena Daw and Kris Gledhill to exceed the maximum word-limit.</w:t>
      </w:r>
    </w:p>
    <w:p w:rsidR="00575306" w:rsidRPr="00575306" w:rsidRDefault="00575306" w:rsidP="00575306">
      <w:r w:rsidRPr="00575306">
        <w:t xml:space="preserve">Rowena Daw was Vice-Chair of the </w:t>
      </w:r>
      <w:r w:rsidRPr="00575306">
        <w:rPr>
          <w:i/>
          <w:iCs/>
        </w:rPr>
        <w:t>Mental Health Alliance</w:t>
      </w:r>
      <w:r w:rsidRPr="00575306">
        <w:t>, that extraordinary (given the range of bodies</w:t>
      </w:r>
      <w:r>
        <w:t xml:space="preserve"> </w:t>
      </w:r>
      <w:r w:rsidRPr="00575306">
        <w:t>who found common cause) grouping of organisations which for so long united to oppose so many of the</w:t>
      </w:r>
      <w:r>
        <w:t xml:space="preserve"> </w:t>
      </w:r>
      <w:r w:rsidRPr="00575306">
        <w:t xml:space="preserve">Government proposals to reform mental health law. As such, she was of course very </w:t>
      </w:r>
      <w:r w:rsidRPr="00575306">
        <w:lastRenderedPageBreak/>
        <w:t>heavily involved in the</w:t>
      </w:r>
      <w:r>
        <w:t xml:space="preserve"> </w:t>
      </w:r>
      <w:r w:rsidRPr="00575306">
        <w:t>ongoing debates. She looks back at the lengthy process and considers some of the end-results in ‘</w:t>
      </w:r>
      <w:r w:rsidRPr="00575306">
        <w:rPr>
          <w:b/>
          <w:bCs/>
        </w:rPr>
        <w:t>The Mental</w:t>
      </w:r>
      <w:r>
        <w:rPr>
          <w:b/>
          <w:bCs/>
        </w:rPr>
        <w:t xml:space="preserve"> </w:t>
      </w:r>
      <w:r w:rsidRPr="00575306">
        <w:rPr>
          <w:b/>
          <w:bCs/>
        </w:rPr>
        <w:t>Health Act 2007 – The Defeat of an Ideal</w:t>
      </w:r>
      <w:r w:rsidRPr="00575306">
        <w:t>’, choosing a title for her article which has echoes of one employed</w:t>
      </w:r>
      <w:r>
        <w:t xml:space="preserve"> </w:t>
      </w:r>
      <w:r w:rsidRPr="00575306">
        <w:t xml:space="preserve">by Jill </w:t>
      </w:r>
      <w:proofErr w:type="spellStart"/>
      <w:r w:rsidRPr="00575306">
        <w:t>Peay</w:t>
      </w:r>
      <w:proofErr w:type="spellEnd"/>
      <w:r w:rsidRPr="00575306">
        <w:t>, a member of the Richardson Committee in the opening article of the February 2000 issue of this</w:t>
      </w:r>
      <w:r>
        <w:t xml:space="preserve"> </w:t>
      </w:r>
      <w:r w:rsidRPr="00575306">
        <w:t>Journal (‘</w:t>
      </w:r>
      <w:r w:rsidRPr="00575306">
        <w:rPr>
          <w:i/>
          <w:iCs/>
        </w:rPr>
        <w:t>Reform of the Mental Health Act 1983: Squandering an Opportunity?</w:t>
      </w:r>
      <w:r w:rsidRPr="00575306">
        <w:t>’, an article comparing and</w:t>
      </w:r>
      <w:r>
        <w:t xml:space="preserve"> </w:t>
      </w:r>
      <w:r w:rsidRPr="00575306">
        <w:t>contrasting the Expert Committee’s Report with the Government’s subsequent Green Paper</w:t>
      </w:r>
      <w:r w:rsidR="00574A10">
        <w:rPr>
          <w:rStyle w:val="FootnoteReference"/>
        </w:rPr>
        <w:footnoteReference w:id="5"/>
      </w:r>
      <w:r w:rsidRPr="00575306">
        <w:t>).</w:t>
      </w:r>
    </w:p>
    <w:p w:rsidR="002F0422" w:rsidRPr="002F0422" w:rsidRDefault="00575306" w:rsidP="002F0422">
      <w:r w:rsidRPr="00575306">
        <w:t>Compulsory treatment in the community was on the agenda, and as was clear from the words of the then</w:t>
      </w:r>
      <w:r w:rsidR="002F0422">
        <w:t xml:space="preserve"> </w:t>
      </w:r>
      <w:r w:rsidR="002F0422" w:rsidRPr="002F0422">
        <w:t>relevant Government Minister, not negotiable</w:t>
      </w:r>
      <w:r w:rsidR="002F0422">
        <w:rPr>
          <w:rStyle w:val="FootnoteReference"/>
        </w:rPr>
        <w:footnoteReference w:id="6"/>
      </w:r>
      <w:r w:rsidR="002F0422" w:rsidRPr="002F0422">
        <w:t>, from the moment the Expert Committee was appointed. Ten</w:t>
      </w:r>
      <w:r w:rsidR="002F0422">
        <w:t xml:space="preserve"> </w:t>
      </w:r>
      <w:r w:rsidR="002F0422" w:rsidRPr="002F0422">
        <w:t>years later provisions for ‘Supervised Community Treatment’ are to come into effect with the ‘damp squib’</w:t>
      </w:r>
      <w:r w:rsidR="002F0422">
        <w:rPr>
          <w:rStyle w:val="FootnoteReference"/>
        </w:rPr>
        <w:footnoteReference w:id="7"/>
      </w:r>
      <w:r w:rsidR="002F0422">
        <w:t xml:space="preserve"> </w:t>
      </w:r>
      <w:r w:rsidR="002F0422" w:rsidRPr="002F0422">
        <w:t>which is After-care under Supervision being abandoned. Kris Gledhill, a barrister now lecturing in the Law</w:t>
      </w:r>
      <w:r w:rsidR="002F0422">
        <w:t xml:space="preserve"> </w:t>
      </w:r>
      <w:r w:rsidR="002F0422" w:rsidRPr="002F0422">
        <w:t xml:space="preserve">School at the University </w:t>
      </w:r>
      <w:proofErr w:type="gramStart"/>
      <w:r w:rsidR="002F0422" w:rsidRPr="002F0422">
        <w:t>of</w:t>
      </w:r>
      <w:proofErr w:type="gramEnd"/>
      <w:r w:rsidR="002F0422" w:rsidRPr="002F0422">
        <w:t xml:space="preserve"> Auckland, New Zealand, employs an international perspective when he closely</w:t>
      </w:r>
      <w:r w:rsidR="002F0422">
        <w:t xml:space="preserve"> </w:t>
      </w:r>
      <w:r w:rsidR="002F0422" w:rsidRPr="002F0422">
        <w:t>and critically analyses ‘</w:t>
      </w:r>
      <w:r w:rsidR="002F0422" w:rsidRPr="002F0422">
        <w:rPr>
          <w:b/>
          <w:bCs/>
        </w:rPr>
        <w:t>Community Treatment Orders</w:t>
      </w:r>
      <w:r w:rsidR="002F0422" w:rsidRPr="002F0422">
        <w:t>’. He concludes:</w:t>
      </w:r>
    </w:p>
    <w:p w:rsidR="002F0422" w:rsidRPr="002F0422" w:rsidRDefault="002F0422" w:rsidP="002F0422">
      <w:pPr>
        <w:ind w:left="567" w:right="521"/>
        <w:rPr>
          <w:i/>
          <w:iCs/>
        </w:rPr>
      </w:pPr>
      <w:r w:rsidRPr="002F0422">
        <w:rPr>
          <w:i/>
          <w:iCs/>
        </w:rPr>
        <w:t>“The legal framework is much less important than resources and good practice: which makes it a real</w:t>
      </w:r>
      <w:r>
        <w:rPr>
          <w:i/>
          <w:iCs/>
        </w:rPr>
        <w:t xml:space="preserve"> </w:t>
      </w:r>
      <w:r w:rsidRPr="002F0422">
        <w:rPr>
          <w:i/>
          <w:iCs/>
        </w:rPr>
        <w:t>shame that the government made use of smoke and mirrors to create the impression of a problem which</w:t>
      </w:r>
      <w:r>
        <w:rPr>
          <w:i/>
          <w:iCs/>
        </w:rPr>
        <w:t xml:space="preserve"> </w:t>
      </w:r>
      <w:r w:rsidRPr="002F0422">
        <w:rPr>
          <w:i/>
          <w:iCs/>
        </w:rPr>
        <w:t>was not clearly reflected in the research it relied on and a new solution which merely repackaged what</w:t>
      </w:r>
      <w:r>
        <w:rPr>
          <w:i/>
          <w:iCs/>
        </w:rPr>
        <w:t xml:space="preserve"> </w:t>
      </w:r>
      <w:r w:rsidRPr="002F0422">
        <w:rPr>
          <w:i/>
          <w:iCs/>
        </w:rPr>
        <w:t>was already there.”</w:t>
      </w:r>
    </w:p>
    <w:p w:rsidR="002F0422" w:rsidRPr="002F0422" w:rsidRDefault="002F0422" w:rsidP="002F0422">
      <w:r w:rsidRPr="002F0422">
        <w:t>In a short and succinct article, ‘</w:t>
      </w:r>
      <w:r w:rsidRPr="002F0422">
        <w:rPr>
          <w:b/>
          <w:bCs/>
        </w:rPr>
        <w:t>Deprivations of Liberty: Mental Health Act or Mental Capacity Act?</w:t>
      </w:r>
      <w:r w:rsidRPr="002F0422">
        <w:t>’,</w:t>
      </w:r>
      <w:r>
        <w:t xml:space="preserve"> </w:t>
      </w:r>
      <w:r w:rsidRPr="002F0422">
        <w:t xml:space="preserve">Richard Jones, the author of the well-respected and very widely used </w:t>
      </w:r>
      <w:r w:rsidRPr="002F0422">
        <w:rPr>
          <w:i/>
          <w:iCs/>
        </w:rPr>
        <w:t>Mental Health Act Manual</w:t>
      </w:r>
      <w:r>
        <w:rPr>
          <w:rStyle w:val="FootnoteReference"/>
          <w:i/>
          <w:iCs/>
        </w:rPr>
        <w:footnoteReference w:id="8"/>
      </w:r>
      <w:r w:rsidRPr="002F0422">
        <w:t>, considers</w:t>
      </w:r>
      <w:r>
        <w:t xml:space="preserve"> </w:t>
      </w:r>
      <w:r w:rsidRPr="002F0422">
        <w:t>the amendments made by the 2007 Act to the MHA 1983 (in particular the power to be given to th</w:t>
      </w:r>
      <w:r>
        <w:t xml:space="preserve">e </w:t>
      </w:r>
      <w:r w:rsidRPr="002F0422">
        <w:t>guardian of a mentally incapacitated person to take the person to where he or she does not want to go, using</w:t>
      </w:r>
      <w:r>
        <w:t xml:space="preserve"> </w:t>
      </w:r>
      <w:r w:rsidRPr="002F0422">
        <w:t>force if necessary), and states – no doubt somewhat controversially, given the long-established view that</w:t>
      </w:r>
      <w:r>
        <w:t xml:space="preserve"> </w:t>
      </w:r>
      <w:r w:rsidRPr="002F0422">
        <w:t>guardianship cannot be used to deprive a person of their liberty – that “there would appear to be no legal</w:t>
      </w:r>
      <w:r>
        <w:t xml:space="preserve"> </w:t>
      </w:r>
      <w:r w:rsidRPr="002F0422">
        <w:t>impediment to prevent guardianship being used to justify the deprivation of a patient’s liberty in a care home</w:t>
      </w:r>
      <w:r>
        <w:t xml:space="preserve"> </w:t>
      </w:r>
      <w:r w:rsidRPr="002F0422">
        <w:t>in preference to the MCA procedure”. The ‘MCA procedure’ to which he refers is of course the ‘Deprivation</w:t>
      </w:r>
      <w:r>
        <w:t xml:space="preserve"> </w:t>
      </w:r>
      <w:r w:rsidRPr="002F0422">
        <w:t>of Liberty’ procedure introduced to the MCA 2005 by section 50 of the 2007 Act. As editor of this specialist</w:t>
      </w:r>
      <w:r>
        <w:t xml:space="preserve"> </w:t>
      </w:r>
      <w:r w:rsidRPr="002F0422">
        <w:t>refereed journal, I am of course delighted to host debates on contentious issues of interest to the readership,</w:t>
      </w:r>
      <w:r>
        <w:t xml:space="preserve"> </w:t>
      </w:r>
      <w:r w:rsidRPr="002F0422">
        <w:t>and if readers wish to submit a response to this, or indeed any other, article, I would be pleased to be</w:t>
      </w:r>
      <w:r>
        <w:t xml:space="preserve"> </w:t>
      </w:r>
      <w:r w:rsidRPr="002F0422">
        <w:t>contacted.</w:t>
      </w:r>
    </w:p>
    <w:p w:rsidR="002F0422" w:rsidRPr="002F0422" w:rsidRDefault="002F0422" w:rsidP="002F0422">
      <w:r w:rsidRPr="002F0422">
        <w:t>In June 2007 the Law School at Northumbria University hosted a seminar ‘Children and Mental Health and</w:t>
      </w:r>
      <w:r>
        <w:t xml:space="preserve"> </w:t>
      </w:r>
      <w:r w:rsidRPr="002F0422">
        <w:t>Human Rights’. One speaker at the seminar was Camilla Parker. As consultant to the Children’s Commissioner</w:t>
      </w:r>
      <w:r>
        <w:t xml:space="preserve"> </w:t>
      </w:r>
      <w:r w:rsidRPr="002F0422">
        <w:t>for England, Ms Parker had a particular interest in the rights of young people as the parliamentary debates</w:t>
      </w:r>
      <w:r>
        <w:t xml:space="preserve"> </w:t>
      </w:r>
      <w:r w:rsidRPr="002F0422">
        <w:t xml:space="preserve">about the </w:t>
      </w:r>
      <w:r w:rsidRPr="002F0422">
        <w:rPr>
          <w:i/>
          <w:iCs/>
        </w:rPr>
        <w:t xml:space="preserve">Mental Health Bill 2006 </w:t>
      </w:r>
      <w:r w:rsidRPr="002F0422">
        <w:t>progressed. The Mental Health Alliance’s representations on behalf of this</w:t>
      </w:r>
      <w:r>
        <w:t xml:space="preserve"> </w:t>
      </w:r>
      <w:r w:rsidRPr="002F0422">
        <w:t>particular group of service users yielded some success, as her article ‘</w:t>
      </w:r>
      <w:r w:rsidRPr="002F0422">
        <w:rPr>
          <w:b/>
          <w:bCs/>
        </w:rPr>
        <w:t>Children and Young People and the</w:t>
      </w:r>
      <w:r>
        <w:rPr>
          <w:b/>
          <w:bCs/>
        </w:rPr>
        <w:t xml:space="preserve"> </w:t>
      </w:r>
      <w:r w:rsidRPr="002F0422">
        <w:rPr>
          <w:b/>
          <w:bCs/>
        </w:rPr>
        <w:t>Mental Health Act 2007</w:t>
      </w:r>
      <w:r w:rsidRPr="002F0422">
        <w:t>’ makes clear. Within the article Ms. Parker considers the statutory provision for</w:t>
      </w:r>
      <w:r>
        <w:t xml:space="preserve"> </w:t>
      </w:r>
      <w:r w:rsidRPr="002F0422">
        <w:t xml:space="preserve">young people against the background of the </w:t>
      </w:r>
      <w:r w:rsidRPr="002F0422">
        <w:rPr>
          <w:i/>
          <w:iCs/>
        </w:rPr>
        <w:t>United Nations Convention on the Rights of the Child</w:t>
      </w:r>
      <w:r w:rsidRPr="002F0422">
        <w:t>, and</w:t>
      </w:r>
      <w:r>
        <w:t xml:space="preserve"> </w:t>
      </w:r>
      <w:r w:rsidRPr="002F0422">
        <w:t xml:space="preserve">concludes that despite </w:t>
      </w:r>
      <w:r w:rsidRPr="002F0422">
        <w:lastRenderedPageBreak/>
        <w:t>the additional safeguards secured, there is still cause for concern, particularly for those</w:t>
      </w:r>
      <w:r>
        <w:t xml:space="preserve"> </w:t>
      </w:r>
      <w:r w:rsidRPr="002F0422">
        <w:t xml:space="preserve">children </w:t>
      </w:r>
      <w:proofErr w:type="gramStart"/>
      <w:r w:rsidRPr="002F0422">
        <w:t>under</w:t>
      </w:r>
      <w:proofErr w:type="gramEnd"/>
      <w:r w:rsidRPr="002F0422">
        <w:t xml:space="preserve"> 16 considered to lack competence to make decisions for themselves.</w:t>
      </w:r>
    </w:p>
    <w:p w:rsidR="002F0422" w:rsidRPr="002F0422" w:rsidRDefault="002F0422" w:rsidP="002F0422">
      <w:r w:rsidRPr="002F0422">
        <w:t xml:space="preserve">The focus of the next article is community care for those suffering from mental ill-health. Jill </w:t>
      </w:r>
      <w:proofErr w:type="spellStart"/>
      <w:r w:rsidRPr="002F0422">
        <w:t>Stavert</w:t>
      </w:r>
      <w:proofErr w:type="spellEnd"/>
      <w:r w:rsidRPr="002F0422">
        <w:t>, a</w:t>
      </w:r>
      <w:r>
        <w:t xml:space="preserve"> </w:t>
      </w:r>
      <w:r w:rsidRPr="002F0422">
        <w:t>lecturer at the Centre for Law, Napier University, asks ‘</w:t>
      </w:r>
      <w:proofErr w:type="gramStart"/>
      <w:r w:rsidRPr="002F0422">
        <w:rPr>
          <w:b/>
          <w:bCs/>
        </w:rPr>
        <w:t>Mental</w:t>
      </w:r>
      <w:proofErr w:type="gramEnd"/>
      <w:r w:rsidRPr="002F0422">
        <w:rPr>
          <w:b/>
          <w:bCs/>
        </w:rPr>
        <w:t xml:space="preserve"> health, community care and human rights</w:t>
      </w:r>
      <w:r>
        <w:rPr>
          <w:b/>
          <w:bCs/>
        </w:rPr>
        <w:t xml:space="preserve"> </w:t>
      </w:r>
      <w:r w:rsidRPr="002F0422">
        <w:rPr>
          <w:b/>
          <w:bCs/>
        </w:rPr>
        <w:t>in Europe: Still an incomplete picture?</w:t>
      </w:r>
      <w:r w:rsidRPr="002F0422">
        <w:t>’ Her primary concern is that as care increasingly takes place outside</w:t>
      </w:r>
      <w:r>
        <w:t xml:space="preserve"> </w:t>
      </w:r>
      <w:r w:rsidRPr="002F0422">
        <w:t>institutions, there is an insufficient acknowledgement at national level of socio-economic rights of those with</w:t>
      </w:r>
      <w:r>
        <w:t xml:space="preserve"> </w:t>
      </w:r>
      <w:r w:rsidRPr="002F0422">
        <w:t>mental illness despite International and European standards set out in various instruments.</w:t>
      </w:r>
    </w:p>
    <w:p w:rsidR="001E29CF" w:rsidRPr="001E29CF" w:rsidRDefault="002F0422" w:rsidP="001E29CF">
      <w:r w:rsidRPr="002F0422">
        <w:t>In the May 2006 issue of the Journal we published the first of two articles prepared by Kay Wheat, a Reader</w:t>
      </w:r>
      <w:r>
        <w:t xml:space="preserve"> </w:t>
      </w:r>
      <w:r w:rsidRPr="002F0422">
        <w:t>in Law at Nottingham Law School, on ‘</w:t>
      </w:r>
      <w:r w:rsidRPr="002F0422">
        <w:rPr>
          <w:b/>
          <w:bCs/>
        </w:rPr>
        <w:t>Mental Health in the Workplace</w:t>
      </w:r>
      <w:r w:rsidRPr="002F0422">
        <w:t>’</w:t>
      </w:r>
      <w:r>
        <w:rPr>
          <w:rStyle w:val="FootnoteReference"/>
        </w:rPr>
        <w:footnoteReference w:id="9"/>
      </w:r>
      <w:r w:rsidRPr="002F0422">
        <w:t>. I am pleased we are publishing</w:t>
      </w:r>
      <w:r>
        <w:t xml:space="preserve"> </w:t>
      </w:r>
      <w:r w:rsidRPr="002F0422">
        <w:t>the second article in this issue – ‘</w:t>
      </w:r>
      <w:r w:rsidRPr="002F0422">
        <w:rPr>
          <w:b/>
          <w:bCs/>
        </w:rPr>
        <w:t>Mental Health and Discrimination in Employment</w:t>
      </w:r>
      <w:r w:rsidRPr="002F0422">
        <w:t>’. If a narrow definition</w:t>
      </w:r>
      <w:r>
        <w:t xml:space="preserve"> </w:t>
      </w:r>
      <w:r w:rsidRPr="002F0422">
        <w:t>of mental health law is adopted, this is clearly not an obvious subject area to be considered within the pages</w:t>
      </w:r>
      <w:r w:rsidR="001E29CF">
        <w:t xml:space="preserve"> </w:t>
      </w:r>
      <w:r w:rsidR="001E29CF" w:rsidRPr="001E29CF">
        <w:t>of this Journal. However I have no doubt the subject-matter is of interest to the readership – hence the</w:t>
      </w:r>
      <w:r w:rsidR="001E29CF">
        <w:t xml:space="preserve"> </w:t>
      </w:r>
      <w:r w:rsidR="001E29CF" w:rsidRPr="001E29CF">
        <w:t>acceptance of both articles for publication. It was through no fault of the author that we failed to publish the</w:t>
      </w:r>
      <w:r w:rsidR="001E29CF">
        <w:t xml:space="preserve"> </w:t>
      </w:r>
      <w:r w:rsidR="001E29CF" w:rsidRPr="001E29CF">
        <w:t>second article in the issue of May 2007.</w:t>
      </w:r>
    </w:p>
    <w:p w:rsidR="001E29CF" w:rsidRPr="001E29CF" w:rsidRDefault="001E29CF" w:rsidP="001E29CF">
      <w:r w:rsidRPr="001E29CF">
        <w:t xml:space="preserve">In the </w:t>
      </w:r>
      <w:proofErr w:type="spellStart"/>
      <w:r w:rsidRPr="001E29CF">
        <w:rPr>
          <w:b/>
          <w:bCs/>
          <w:i/>
          <w:iCs/>
        </w:rPr>
        <w:t>Casenotes</w:t>
      </w:r>
      <w:proofErr w:type="spellEnd"/>
      <w:r w:rsidRPr="001E29CF">
        <w:rPr>
          <w:b/>
          <w:bCs/>
          <w:i/>
          <w:iCs/>
        </w:rPr>
        <w:t xml:space="preserve"> </w:t>
      </w:r>
      <w:r w:rsidRPr="001E29CF">
        <w:t xml:space="preserve">section, we first look at the case of </w:t>
      </w:r>
      <w:r w:rsidRPr="001E29CF">
        <w:rPr>
          <w:i/>
          <w:iCs/>
        </w:rPr>
        <w:t>YL v Birmingham City Council and others</w:t>
      </w:r>
      <w:r>
        <w:rPr>
          <w:rStyle w:val="FootnoteReference"/>
          <w:i/>
          <w:iCs/>
        </w:rPr>
        <w:footnoteReference w:id="10"/>
      </w:r>
      <w:r w:rsidRPr="001E29CF">
        <w:t>. Ralph</w:t>
      </w:r>
      <w:r>
        <w:t xml:space="preserve"> </w:t>
      </w:r>
      <w:proofErr w:type="spellStart"/>
      <w:r w:rsidRPr="001E29CF">
        <w:t>Sandland</w:t>
      </w:r>
      <w:proofErr w:type="spellEnd"/>
      <w:r w:rsidRPr="001E29CF">
        <w:t xml:space="preserve"> (Associate Professor at the School of Law, Nottingham University) casts a critical eye over this</w:t>
      </w:r>
      <w:r>
        <w:t xml:space="preserve"> </w:t>
      </w:r>
      <w:r w:rsidRPr="001E29CF">
        <w:t>significant House of Lords majority decision in ‘</w:t>
      </w:r>
      <w:r w:rsidRPr="001E29CF">
        <w:rPr>
          <w:b/>
          <w:bCs/>
        </w:rPr>
        <w:t>Human Rights and the provision of Residential Care under</w:t>
      </w:r>
      <w:r>
        <w:rPr>
          <w:b/>
          <w:bCs/>
        </w:rPr>
        <w:t xml:space="preserve"> </w:t>
      </w:r>
      <w:r w:rsidRPr="001E29CF">
        <w:rPr>
          <w:b/>
          <w:bCs/>
        </w:rPr>
        <w:t>the National Assistance Act 1948</w:t>
      </w:r>
      <w:r w:rsidRPr="001E29CF">
        <w:t>’. He does not hesitate to point out the worrying implications of the</w:t>
      </w:r>
      <w:r>
        <w:t xml:space="preserve"> </w:t>
      </w:r>
      <w:r w:rsidRPr="001E29CF">
        <w:t>decision for “</w:t>
      </w:r>
      <w:proofErr w:type="spellStart"/>
      <w:r w:rsidRPr="001E29CF">
        <w:t>thousand</w:t>
      </w:r>
      <w:proofErr w:type="spellEnd"/>
      <w:r w:rsidRPr="001E29CF">
        <w:t xml:space="preserve"> of care homes and hundreds of thousands of residents in such homes”.</w:t>
      </w:r>
    </w:p>
    <w:p w:rsidR="001E29CF" w:rsidRPr="001E29CF" w:rsidRDefault="001E29CF" w:rsidP="001E29CF">
      <w:r w:rsidRPr="001E29CF">
        <w:t>We then move on to consider ‘</w:t>
      </w:r>
      <w:r w:rsidRPr="001E29CF">
        <w:rPr>
          <w:b/>
          <w:bCs/>
        </w:rPr>
        <w:t>The Re-call of Conditionally Discharged patients [and] – the breadth of</w:t>
      </w:r>
      <w:r>
        <w:rPr>
          <w:b/>
          <w:bCs/>
        </w:rPr>
        <w:t xml:space="preserve"> </w:t>
      </w:r>
      <w:r w:rsidRPr="001E29CF">
        <w:rPr>
          <w:b/>
          <w:bCs/>
        </w:rPr>
        <w:t>the Secretary of State’s discretion</w:t>
      </w:r>
      <w:r w:rsidRPr="001E29CF">
        <w:t>’. This issue came before the Court of Appeal in R (</w:t>
      </w:r>
      <w:r w:rsidRPr="001E29CF">
        <w:rPr>
          <w:i/>
          <w:iCs/>
        </w:rPr>
        <w:t>on the application of</w:t>
      </w:r>
      <w:r>
        <w:rPr>
          <w:i/>
          <w:iCs/>
        </w:rPr>
        <w:t xml:space="preserve"> </w:t>
      </w:r>
      <w:r w:rsidRPr="001E29CF">
        <w:rPr>
          <w:i/>
          <w:iCs/>
        </w:rPr>
        <w:t>MM) v Secretary of State for the Home Department and Five Boroughs NHS Trust</w:t>
      </w:r>
      <w:r>
        <w:rPr>
          <w:rStyle w:val="FootnoteReference"/>
          <w:i/>
          <w:iCs/>
        </w:rPr>
        <w:footnoteReference w:id="11"/>
      </w:r>
      <w:r w:rsidRPr="001E29CF">
        <w:t xml:space="preserve">. Roger </w:t>
      </w:r>
      <w:proofErr w:type="spellStart"/>
      <w:r w:rsidRPr="001E29CF">
        <w:t>Pezzani</w:t>
      </w:r>
      <w:proofErr w:type="spellEnd"/>
      <w:r w:rsidRPr="001E29CF">
        <w:t xml:space="preserve"> (Barrister)</w:t>
      </w:r>
      <w:r>
        <w:t xml:space="preserve"> </w:t>
      </w:r>
      <w:r w:rsidRPr="001E29CF">
        <w:t>discusses the decision, concluding that “whilst this is of course an intensely difficult area, involving the</w:t>
      </w:r>
      <w:r>
        <w:t xml:space="preserve"> </w:t>
      </w:r>
      <w:r w:rsidRPr="001E29CF">
        <w:t>balancing of personal liberty and autonomy against real risks to the public, this judgment’s lack of clear</w:t>
      </w:r>
      <w:r>
        <w:t xml:space="preserve"> </w:t>
      </w:r>
      <w:r w:rsidRPr="001E29CF">
        <w:t>reasoning and failure to make any positive statement of principle beyond the obvious, represents a missed</w:t>
      </w:r>
      <w:r>
        <w:t xml:space="preserve"> </w:t>
      </w:r>
      <w:r w:rsidRPr="001E29CF">
        <w:t>opportunity.”</w:t>
      </w:r>
    </w:p>
    <w:p w:rsidR="001E29CF" w:rsidRPr="001E29CF" w:rsidRDefault="001E29CF" w:rsidP="001E29CF">
      <w:r w:rsidRPr="001E29CF">
        <w:t xml:space="preserve">The case of </w:t>
      </w:r>
      <w:r w:rsidRPr="001E29CF">
        <w:rPr>
          <w:i/>
          <w:iCs/>
        </w:rPr>
        <w:t>Seal v Chief Constable of South Wales Police</w:t>
      </w:r>
      <w:r>
        <w:rPr>
          <w:rStyle w:val="FootnoteReference"/>
          <w:i/>
          <w:iCs/>
        </w:rPr>
        <w:footnoteReference w:id="12"/>
      </w:r>
      <w:r w:rsidRPr="001E29CF">
        <w:t xml:space="preserve"> was another recent case in which the House of</w:t>
      </w:r>
      <w:r>
        <w:t xml:space="preserve"> </w:t>
      </w:r>
      <w:r w:rsidRPr="001E29CF">
        <w:t>Lords reached a majority decision. David Hewitt, Visiting Fellow to the Law School at Northumbria</w:t>
      </w:r>
      <w:r>
        <w:t xml:space="preserve"> </w:t>
      </w:r>
      <w:r w:rsidRPr="001E29CF">
        <w:t>University, expresses no surprise at the decision in ‘</w:t>
      </w:r>
      <w:r w:rsidRPr="001E29CF">
        <w:rPr>
          <w:b/>
          <w:bCs/>
        </w:rPr>
        <w:t>Protection from what? The nullifying effect of section</w:t>
      </w:r>
      <w:r>
        <w:rPr>
          <w:b/>
          <w:bCs/>
        </w:rPr>
        <w:t xml:space="preserve"> </w:t>
      </w:r>
      <w:r w:rsidRPr="001E29CF">
        <w:rPr>
          <w:b/>
          <w:bCs/>
        </w:rPr>
        <w:t>139</w:t>
      </w:r>
      <w:r w:rsidRPr="001E29CF">
        <w:t>’, but concludes with a statement of regret that proposals to amend s.139 which had been included within</w:t>
      </w:r>
      <w:r>
        <w:t xml:space="preserve"> </w:t>
      </w:r>
      <w:r w:rsidRPr="001E29CF">
        <w:t xml:space="preserve">the </w:t>
      </w:r>
      <w:r w:rsidRPr="001E29CF">
        <w:rPr>
          <w:i/>
          <w:iCs/>
        </w:rPr>
        <w:t xml:space="preserve">Draft Mental Health Bill 2004 </w:t>
      </w:r>
      <w:r w:rsidRPr="001E29CF">
        <w:t>did not survive the culling of that document and its replacement with the</w:t>
      </w:r>
      <w:r>
        <w:t xml:space="preserve"> </w:t>
      </w:r>
      <w:r w:rsidRPr="001E29CF">
        <w:rPr>
          <w:i/>
          <w:iCs/>
        </w:rPr>
        <w:t>Mental Health Bill 2006</w:t>
      </w:r>
      <w:r w:rsidRPr="001E29CF">
        <w:t>.</w:t>
      </w:r>
    </w:p>
    <w:p w:rsidR="001E29CF" w:rsidRPr="001E29CF" w:rsidRDefault="001E29CF" w:rsidP="001E29CF">
      <w:r w:rsidRPr="001E29CF">
        <w:t>Our final case review has (with respect to the other authors) the most intriguing title within this issue.</w:t>
      </w:r>
      <w:r>
        <w:t xml:space="preserve"> </w:t>
      </w:r>
      <w:r w:rsidRPr="001E29CF">
        <w:t xml:space="preserve">Natalie </w:t>
      </w:r>
      <w:proofErr w:type="spellStart"/>
      <w:r w:rsidRPr="001E29CF">
        <w:t>Wortley</w:t>
      </w:r>
      <w:proofErr w:type="spellEnd"/>
      <w:r w:rsidRPr="001E29CF">
        <w:t xml:space="preserve"> (Senior Lecturer at the Law School, Northumbria University) asks ‘</w:t>
      </w:r>
      <w:r w:rsidRPr="001E29CF">
        <w:rPr>
          <w:b/>
          <w:bCs/>
        </w:rPr>
        <w:t xml:space="preserve">Hello </w:t>
      </w:r>
      <w:proofErr w:type="spellStart"/>
      <w:r w:rsidRPr="001E29CF">
        <w:rPr>
          <w:b/>
          <w:bCs/>
        </w:rPr>
        <w:t>Doli</w:t>
      </w:r>
      <w:proofErr w:type="spellEnd"/>
      <w:r w:rsidRPr="001E29CF">
        <w:rPr>
          <w:b/>
          <w:bCs/>
        </w:rPr>
        <w:t>? … or is it</w:t>
      </w:r>
      <w:r>
        <w:rPr>
          <w:b/>
          <w:bCs/>
        </w:rPr>
        <w:t xml:space="preserve"> </w:t>
      </w:r>
      <w:r w:rsidRPr="001E29CF">
        <w:rPr>
          <w:b/>
          <w:bCs/>
        </w:rPr>
        <w:t>Goodbye?</w:t>
      </w:r>
      <w:r w:rsidRPr="001E29CF">
        <w:t xml:space="preserve">’ The principle of </w:t>
      </w:r>
      <w:proofErr w:type="spellStart"/>
      <w:r w:rsidRPr="001E29CF">
        <w:rPr>
          <w:i/>
          <w:iCs/>
        </w:rPr>
        <w:t>doli</w:t>
      </w:r>
      <w:proofErr w:type="spellEnd"/>
      <w:r w:rsidRPr="001E29CF">
        <w:rPr>
          <w:i/>
          <w:iCs/>
        </w:rPr>
        <w:t xml:space="preserve"> </w:t>
      </w:r>
      <w:proofErr w:type="spellStart"/>
      <w:r w:rsidRPr="001E29CF">
        <w:rPr>
          <w:i/>
          <w:iCs/>
        </w:rPr>
        <w:t>incapax</w:t>
      </w:r>
      <w:proofErr w:type="spellEnd"/>
      <w:r w:rsidRPr="001E29CF">
        <w:rPr>
          <w:i/>
          <w:iCs/>
        </w:rPr>
        <w:t xml:space="preserve"> </w:t>
      </w:r>
      <w:r w:rsidRPr="001E29CF">
        <w:t xml:space="preserve">came in for further judicial examination in </w:t>
      </w:r>
      <w:r w:rsidRPr="001E29CF">
        <w:lastRenderedPageBreak/>
        <w:t xml:space="preserve">the recent case of </w:t>
      </w:r>
      <w:r w:rsidRPr="001E29CF">
        <w:rPr>
          <w:i/>
          <w:iCs/>
        </w:rPr>
        <w:t>Director</w:t>
      </w:r>
      <w:r>
        <w:rPr>
          <w:i/>
          <w:iCs/>
        </w:rPr>
        <w:t xml:space="preserve"> </w:t>
      </w:r>
      <w:r w:rsidRPr="001E29CF">
        <w:rPr>
          <w:i/>
          <w:iCs/>
        </w:rPr>
        <w:t>of Public Prosecutions v P</w:t>
      </w:r>
      <w:r>
        <w:rPr>
          <w:rStyle w:val="FootnoteReference"/>
          <w:i/>
          <w:iCs/>
        </w:rPr>
        <w:footnoteReference w:id="13"/>
      </w:r>
      <w:r w:rsidRPr="001E29CF">
        <w:t>, a case which should be of considerable interest to anyone concerned with</w:t>
      </w:r>
      <w:r>
        <w:t xml:space="preserve"> </w:t>
      </w:r>
      <w:r w:rsidRPr="001E29CF">
        <w:t>children and young people charged with the commission of criminal offences.</w:t>
      </w:r>
    </w:p>
    <w:p w:rsidR="001E29CF" w:rsidRPr="001E29CF" w:rsidRDefault="001E29CF" w:rsidP="001E29CF">
      <w:r w:rsidRPr="001E29CF">
        <w:t xml:space="preserve">We conclude with three </w:t>
      </w:r>
      <w:r w:rsidRPr="001E29CF">
        <w:rPr>
          <w:b/>
          <w:bCs/>
          <w:i/>
          <w:iCs/>
        </w:rPr>
        <w:t>Book Reviews</w:t>
      </w:r>
      <w:r w:rsidRPr="001E29CF">
        <w:t xml:space="preserve">. </w:t>
      </w:r>
      <w:bookmarkStart w:id="0" w:name="_GoBack"/>
      <w:bookmarkEnd w:id="0"/>
      <w:r w:rsidRPr="001E29CF">
        <w:t>Rob Brown (social work trainer) has written about ‘</w:t>
      </w:r>
      <w:r w:rsidRPr="001E29CF">
        <w:rPr>
          <w:b/>
          <w:bCs/>
        </w:rPr>
        <w:t>The Nearest</w:t>
      </w:r>
      <w:r>
        <w:rPr>
          <w:b/>
          <w:bCs/>
        </w:rPr>
        <w:t xml:space="preserve"> </w:t>
      </w:r>
      <w:r w:rsidRPr="001E29CF">
        <w:rPr>
          <w:b/>
          <w:bCs/>
        </w:rPr>
        <w:t>Relative Handbook</w:t>
      </w:r>
      <w:r w:rsidRPr="001E29CF">
        <w:t>’</w:t>
      </w:r>
      <w:r>
        <w:rPr>
          <w:rStyle w:val="FootnoteReference"/>
        </w:rPr>
        <w:footnoteReference w:id="14"/>
      </w:r>
      <w:r w:rsidRPr="001E29CF">
        <w:t xml:space="preserve"> by David Hewitt; William Brereton (Psychiatrist) has considered a New Zealand book,</w:t>
      </w:r>
      <w:r>
        <w:t xml:space="preserve"> </w:t>
      </w:r>
      <w:r w:rsidRPr="001E29CF">
        <w:t>‘</w:t>
      </w:r>
      <w:r w:rsidRPr="001E29CF">
        <w:rPr>
          <w:b/>
          <w:bCs/>
        </w:rPr>
        <w:t>Psychiatry and the Law</w:t>
      </w:r>
      <w:r w:rsidRPr="001E29CF">
        <w:t>’</w:t>
      </w:r>
      <w:r>
        <w:rPr>
          <w:rStyle w:val="FootnoteReference"/>
        </w:rPr>
        <w:footnoteReference w:id="15"/>
      </w:r>
      <w:r w:rsidRPr="001E29CF">
        <w:t xml:space="preserve"> edited by Warren </w:t>
      </w:r>
      <w:proofErr w:type="spellStart"/>
      <w:r w:rsidRPr="001E29CF">
        <w:t>Brookbanks</w:t>
      </w:r>
      <w:proofErr w:type="spellEnd"/>
      <w:r w:rsidRPr="001E29CF">
        <w:t xml:space="preserve"> and Sandy Simpson; and I have contributed an</w:t>
      </w:r>
      <w:r>
        <w:t xml:space="preserve"> </w:t>
      </w:r>
      <w:r w:rsidRPr="001E29CF">
        <w:t>overdue review of ‘</w:t>
      </w:r>
      <w:r w:rsidRPr="001E29CF">
        <w:rPr>
          <w:b/>
          <w:bCs/>
        </w:rPr>
        <w:t>Mental Health, Incapacity and the Law in Scotland</w:t>
      </w:r>
      <w:r w:rsidRPr="001E29CF">
        <w:t>’</w:t>
      </w:r>
      <w:r>
        <w:rPr>
          <w:rStyle w:val="FootnoteReference"/>
        </w:rPr>
        <w:footnoteReference w:id="16"/>
      </w:r>
      <w:r w:rsidRPr="001E29CF">
        <w:t xml:space="preserve"> by Hilary Patrick.</w:t>
      </w:r>
    </w:p>
    <w:p w:rsidR="001E29CF" w:rsidRDefault="001E29CF" w:rsidP="001E29CF">
      <w:r w:rsidRPr="001E29CF">
        <w:t>The next issue is due out in May 2008, and, as always, every effort will be made to adhere to that date.</w:t>
      </w:r>
      <w:r>
        <w:t xml:space="preserve"> </w:t>
      </w:r>
      <w:r w:rsidRPr="001E29CF">
        <w:t>Submissions for publication should be made by 1st February 2008 to allow ample time for completion of the</w:t>
      </w:r>
      <w:r>
        <w:t xml:space="preserve"> </w:t>
      </w:r>
      <w:r w:rsidRPr="001E29CF">
        <w:t>refereeing process. In the meantime, many thanks are due to the contributors to this issue. They have had</w:t>
      </w:r>
      <w:r>
        <w:t xml:space="preserve"> </w:t>
      </w:r>
      <w:r w:rsidRPr="001E29CF">
        <w:t>tight deadlines imposed on them, and I am very grateful to them for their readiness to comply not only</w:t>
      </w:r>
      <w:r>
        <w:t xml:space="preserve"> </w:t>
      </w:r>
      <w:r w:rsidRPr="001E29CF">
        <w:t xml:space="preserve">conscientiously but also with good humour. One </w:t>
      </w:r>
      <w:proofErr w:type="gramStart"/>
      <w:r w:rsidRPr="001E29CF">
        <w:t>person</w:t>
      </w:r>
      <w:proofErr w:type="gramEnd"/>
      <w:r w:rsidRPr="001E29CF">
        <w:t xml:space="preserve"> who has never been publicly thanked in previous</w:t>
      </w:r>
      <w:r>
        <w:t xml:space="preserve"> </w:t>
      </w:r>
      <w:r w:rsidRPr="001E29CF">
        <w:t>Forewords, is Ann Conway, Administrator with Northumbria Law Press. Mrs. Conway does considerable</w:t>
      </w:r>
      <w:r>
        <w:t xml:space="preserve"> </w:t>
      </w:r>
      <w:r w:rsidRPr="001E29CF">
        <w:t>work ‘behind the scenes’ in respect of each issue, and an expression of sincere gratitude to her is long overdue.</w:t>
      </w:r>
    </w:p>
    <w:p w:rsidR="001E29CF" w:rsidRPr="001E29CF" w:rsidRDefault="001E29CF" w:rsidP="001E29CF"/>
    <w:p w:rsidR="001E29CF" w:rsidRPr="001E29CF" w:rsidRDefault="001E29CF" w:rsidP="001E29CF">
      <w:pPr>
        <w:rPr>
          <w:b/>
          <w:bCs/>
          <w:i/>
          <w:iCs/>
          <w:sz w:val="28"/>
        </w:rPr>
      </w:pPr>
      <w:r w:rsidRPr="001E29CF">
        <w:rPr>
          <w:b/>
          <w:bCs/>
          <w:i/>
          <w:iCs/>
          <w:sz w:val="28"/>
        </w:rPr>
        <w:t>John Horne</w:t>
      </w:r>
    </w:p>
    <w:p w:rsidR="00647F58" w:rsidRDefault="001E29CF" w:rsidP="001E29CF">
      <w:r w:rsidRPr="001E29CF">
        <w:t>Editor</w:t>
      </w:r>
    </w:p>
    <w:sectPr w:rsidR="00647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10" w:rsidRDefault="00574A10" w:rsidP="00574A10">
      <w:pPr>
        <w:spacing w:after="0" w:line="240" w:lineRule="auto"/>
      </w:pPr>
      <w:r>
        <w:separator/>
      </w:r>
    </w:p>
  </w:endnote>
  <w:endnote w:type="continuationSeparator" w:id="0">
    <w:p w:rsidR="00574A10" w:rsidRDefault="00574A10" w:rsidP="0057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10" w:rsidRDefault="00574A10" w:rsidP="00574A10">
      <w:pPr>
        <w:spacing w:after="0" w:line="240" w:lineRule="auto"/>
      </w:pPr>
      <w:r>
        <w:separator/>
      </w:r>
    </w:p>
  </w:footnote>
  <w:footnote w:type="continuationSeparator" w:id="0">
    <w:p w:rsidR="00574A10" w:rsidRDefault="00574A10" w:rsidP="00574A10">
      <w:pPr>
        <w:spacing w:after="0" w:line="240" w:lineRule="auto"/>
      </w:pPr>
      <w:r>
        <w:continuationSeparator/>
      </w:r>
    </w:p>
  </w:footnote>
  <w:footnote w:id="1">
    <w:p w:rsidR="00574A10" w:rsidRPr="00574A10" w:rsidRDefault="00574A10" w:rsidP="00574A10">
      <w:pPr>
        <w:pStyle w:val="FootnoteText"/>
        <w:rPr>
          <w:sz w:val="16"/>
        </w:rPr>
      </w:pPr>
      <w:r w:rsidRPr="00574A10">
        <w:rPr>
          <w:rStyle w:val="FootnoteReference"/>
          <w:sz w:val="16"/>
        </w:rPr>
        <w:footnoteRef/>
      </w:r>
      <w:r w:rsidRPr="00574A10">
        <w:rPr>
          <w:sz w:val="16"/>
        </w:rPr>
        <w:t xml:space="preserve"> </w:t>
      </w:r>
      <w:r w:rsidRPr="00574A10">
        <w:rPr>
          <w:sz w:val="16"/>
        </w:rPr>
        <w:t>The Report of the Expert Committee, ‘Review of the</w:t>
      </w:r>
      <w:r w:rsidRPr="00574A10">
        <w:rPr>
          <w:sz w:val="16"/>
        </w:rPr>
        <w:t xml:space="preserve"> </w:t>
      </w:r>
      <w:r w:rsidRPr="00574A10">
        <w:rPr>
          <w:sz w:val="16"/>
        </w:rPr>
        <w:t>Mental Health Act 1983’, was published by the</w:t>
      </w:r>
      <w:r w:rsidRPr="00574A10">
        <w:rPr>
          <w:sz w:val="16"/>
        </w:rPr>
        <w:t xml:space="preserve"> </w:t>
      </w:r>
      <w:r w:rsidRPr="00574A10">
        <w:rPr>
          <w:sz w:val="16"/>
        </w:rPr>
        <w:t>Department of Health in November 1999.</w:t>
      </w:r>
    </w:p>
  </w:footnote>
  <w:footnote w:id="2">
    <w:p w:rsidR="00574A10" w:rsidRPr="00574A10" w:rsidRDefault="00574A10">
      <w:pPr>
        <w:pStyle w:val="FootnoteText"/>
        <w:rPr>
          <w:sz w:val="16"/>
        </w:rPr>
      </w:pPr>
      <w:r w:rsidRPr="00574A10">
        <w:rPr>
          <w:rStyle w:val="FootnoteReference"/>
          <w:sz w:val="16"/>
        </w:rPr>
        <w:footnoteRef/>
      </w:r>
      <w:r w:rsidRPr="00574A10">
        <w:rPr>
          <w:sz w:val="16"/>
        </w:rPr>
        <w:t xml:space="preserve"> HL v United Kingdom (2005) 40 EHRR</w:t>
      </w:r>
    </w:p>
  </w:footnote>
  <w:footnote w:id="3">
    <w:p w:rsidR="00574A10" w:rsidRPr="00574A10" w:rsidRDefault="00574A10" w:rsidP="00574A10">
      <w:pPr>
        <w:pStyle w:val="FootnoteText"/>
        <w:rPr>
          <w:sz w:val="16"/>
        </w:rPr>
      </w:pPr>
      <w:r w:rsidRPr="00574A10">
        <w:rPr>
          <w:rStyle w:val="FootnoteReference"/>
          <w:sz w:val="16"/>
        </w:rPr>
        <w:footnoteRef/>
      </w:r>
      <w:r w:rsidRPr="00574A10">
        <w:rPr>
          <w:sz w:val="16"/>
        </w:rPr>
        <w:t xml:space="preserve"> </w:t>
      </w:r>
      <w:r w:rsidRPr="00574A10">
        <w:rPr>
          <w:sz w:val="16"/>
        </w:rPr>
        <w:t>See the Department of Health website. Some of the</w:t>
      </w:r>
      <w:r w:rsidRPr="00574A10">
        <w:rPr>
          <w:sz w:val="16"/>
        </w:rPr>
        <w:t xml:space="preserve"> </w:t>
      </w:r>
      <w:r w:rsidRPr="00574A10">
        <w:rPr>
          <w:sz w:val="16"/>
        </w:rPr>
        <w:t>provisions have come into effect already, or will come into</w:t>
      </w:r>
      <w:r w:rsidRPr="00574A10">
        <w:rPr>
          <w:sz w:val="16"/>
        </w:rPr>
        <w:t xml:space="preserve"> </w:t>
      </w:r>
      <w:r w:rsidRPr="00574A10">
        <w:rPr>
          <w:sz w:val="16"/>
        </w:rPr>
        <w:t>effect before October 2008 – see Commencement Orders</w:t>
      </w:r>
      <w:r w:rsidRPr="00574A10">
        <w:rPr>
          <w:sz w:val="16"/>
        </w:rPr>
        <w:t xml:space="preserve"> </w:t>
      </w:r>
      <w:r w:rsidRPr="00574A10">
        <w:rPr>
          <w:sz w:val="16"/>
        </w:rPr>
        <w:t>(Nos. 1, 2 and 3) contained in S.I.s Nos. 2156, 2635 and</w:t>
      </w:r>
      <w:r w:rsidRPr="00574A10">
        <w:rPr>
          <w:sz w:val="16"/>
        </w:rPr>
        <w:t xml:space="preserve"> </w:t>
      </w:r>
      <w:r w:rsidRPr="00574A10">
        <w:rPr>
          <w:sz w:val="16"/>
        </w:rPr>
        <w:t>2798.</w:t>
      </w:r>
    </w:p>
  </w:footnote>
  <w:footnote w:id="4">
    <w:p w:rsidR="00574A10" w:rsidRPr="00574A10" w:rsidRDefault="00574A10" w:rsidP="00574A10">
      <w:pPr>
        <w:pStyle w:val="FootnoteText"/>
        <w:rPr>
          <w:sz w:val="16"/>
        </w:rPr>
      </w:pPr>
      <w:r w:rsidRPr="00574A10">
        <w:rPr>
          <w:rStyle w:val="FootnoteReference"/>
          <w:sz w:val="16"/>
        </w:rPr>
        <w:footnoteRef/>
      </w:r>
      <w:r w:rsidRPr="00574A10">
        <w:rPr>
          <w:sz w:val="16"/>
        </w:rPr>
        <w:t xml:space="preserve"> </w:t>
      </w:r>
      <w:r w:rsidRPr="00574A10">
        <w:rPr>
          <w:sz w:val="16"/>
        </w:rPr>
        <w:t xml:space="preserve">R (on the </w:t>
      </w:r>
      <w:proofErr w:type="spellStart"/>
      <w:r w:rsidRPr="00574A10">
        <w:rPr>
          <w:sz w:val="16"/>
        </w:rPr>
        <w:t>appl’n</w:t>
      </w:r>
      <w:proofErr w:type="spellEnd"/>
      <w:r w:rsidRPr="00574A10">
        <w:rPr>
          <w:sz w:val="16"/>
        </w:rPr>
        <w:t xml:space="preserve"> of </w:t>
      </w:r>
      <w:proofErr w:type="spellStart"/>
      <w:r w:rsidRPr="00574A10">
        <w:rPr>
          <w:sz w:val="16"/>
        </w:rPr>
        <w:t>Munjaz</w:t>
      </w:r>
      <w:proofErr w:type="spellEnd"/>
      <w:r w:rsidRPr="00574A10">
        <w:rPr>
          <w:sz w:val="16"/>
        </w:rPr>
        <w:t>) v Mersey Care National</w:t>
      </w:r>
      <w:r w:rsidRPr="00574A10">
        <w:rPr>
          <w:sz w:val="16"/>
        </w:rPr>
        <w:t xml:space="preserve"> </w:t>
      </w:r>
      <w:r w:rsidRPr="00574A10">
        <w:rPr>
          <w:sz w:val="16"/>
        </w:rPr>
        <w:t>Health Service Trust [2005] UKHL 58</w:t>
      </w:r>
    </w:p>
  </w:footnote>
  <w:footnote w:id="5">
    <w:p w:rsidR="00574A10" w:rsidRPr="002F0422" w:rsidRDefault="00574A10" w:rsidP="00574A10">
      <w:pPr>
        <w:pStyle w:val="FootnoteText"/>
        <w:rPr>
          <w:sz w:val="16"/>
        </w:rPr>
      </w:pPr>
      <w:r w:rsidRPr="002F0422">
        <w:rPr>
          <w:rStyle w:val="FootnoteReference"/>
          <w:sz w:val="16"/>
        </w:rPr>
        <w:footnoteRef/>
      </w:r>
      <w:r w:rsidRPr="002F0422">
        <w:rPr>
          <w:sz w:val="16"/>
        </w:rPr>
        <w:t xml:space="preserve"> </w:t>
      </w:r>
      <w:r w:rsidRPr="002F0422">
        <w:rPr>
          <w:sz w:val="16"/>
        </w:rPr>
        <w:t>The Government’s Green Paper, ‘Reform of the Mental</w:t>
      </w:r>
      <w:r w:rsidRPr="002F0422">
        <w:rPr>
          <w:sz w:val="16"/>
        </w:rPr>
        <w:t xml:space="preserve"> </w:t>
      </w:r>
      <w:r w:rsidRPr="002F0422">
        <w:rPr>
          <w:sz w:val="16"/>
        </w:rPr>
        <w:t>Health Act 1983’, was published at the same time as the</w:t>
      </w:r>
      <w:r w:rsidRPr="002F0422">
        <w:rPr>
          <w:sz w:val="16"/>
        </w:rPr>
        <w:t xml:space="preserve"> </w:t>
      </w:r>
      <w:r w:rsidRPr="002F0422">
        <w:rPr>
          <w:sz w:val="16"/>
        </w:rPr>
        <w:t>Richardson Committee’s Report – in November 1999.</w:t>
      </w:r>
    </w:p>
  </w:footnote>
  <w:footnote w:id="6">
    <w:p w:rsidR="002F0422" w:rsidRPr="002F0422" w:rsidRDefault="002F0422" w:rsidP="002F0422">
      <w:pPr>
        <w:pStyle w:val="FootnoteText"/>
        <w:rPr>
          <w:sz w:val="16"/>
        </w:rPr>
      </w:pPr>
      <w:r w:rsidRPr="002F0422">
        <w:rPr>
          <w:rStyle w:val="FootnoteReference"/>
          <w:sz w:val="16"/>
        </w:rPr>
        <w:footnoteRef/>
      </w:r>
      <w:r w:rsidRPr="002F0422">
        <w:rPr>
          <w:sz w:val="16"/>
        </w:rPr>
        <w:t xml:space="preserve"> </w:t>
      </w:r>
      <w:r w:rsidRPr="002F0422">
        <w:rPr>
          <w:sz w:val="16"/>
        </w:rPr>
        <w:t xml:space="preserve">Speech by Mr Paul </w:t>
      </w:r>
      <w:proofErr w:type="spellStart"/>
      <w:r w:rsidRPr="002F0422">
        <w:rPr>
          <w:sz w:val="16"/>
        </w:rPr>
        <w:t>Boateng</w:t>
      </w:r>
      <w:proofErr w:type="spellEnd"/>
      <w:r w:rsidRPr="002F0422">
        <w:rPr>
          <w:sz w:val="16"/>
        </w:rPr>
        <w:t>, then Parliamentary Under</w:t>
      </w:r>
      <w:r w:rsidRPr="002F0422">
        <w:rPr>
          <w:sz w:val="16"/>
        </w:rPr>
        <w:t xml:space="preserve"> </w:t>
      </w:r>
      <w:r w:rsidRPr="002F0422">
        <w:rPr>
          <w:sz w:val="16"/>
        </w:rPr>
        <w:t>Secretary of State for Health, at first plenary meeting of</w:t>
      </w:r>
      <w:r w:rsidRPr="002F0422">
        <w:rPr>
          <w:sz w:val="16"/>
        </w:rPr>
        <w:t xml:space="preserve"> </w:t>
      </w:r>
      <w:r w:rsidRPr="002F0422">
        <w:rPr>
          <w:sz w:val="16"/>
        </w:rPr>
        <w:t>the Committee on 22 October 1998 – reproduced as</w:t>
      </w:r>
      <w:r w:rsidRPr="002F0422">
        <w:rPr>
          <w:sz w:val="16"/>
        </w:rPr>
        <w:t xml:space="preserve"> </w:t>
      </w:r>
      <w:r w:rsidRPr="002F0422">
        <w:rPr>
          <w:sz w:val="16"/>
        </w:rPr>
        <w:t>Appendix C in the Report of the Expert Committee</w:t>
      </w:r>
      <w:r w:rsidRPr="002F0422">
        <w:rPr>
          <w:sz w:val="16"/>
        </w:rPr>
        <w:t xml:space="preserve"> </w:t>
      </w:r>
      <w:r w:rsidRPr="002F0422">
        <w:rPr>
          <w:sz w:val="16"/>
        </w:rPr>
        <w:t>(November 1999).</w:t>
      </w:r>
    </w:p>
  </w:footnote>
  <w:footnote w:id="7">
    <w:p w:rsidR="002F0422" w:rsidRPr="002F0422" w:rsidRDefault="002F0422" w:rsidP="002F0422">
      <w:pPr>
        <w:pStyle w:val="FootnoteText"/>
        <w:rPr>
          <w:sz w:val="16"/>
        </w:rPr>
      </w:pPr>
      <w:r w:rsidRPr="002F0422">
        <w:rPr>
          <w:rStyle w:val="FootnoteReference"/>
          <w:sz w:val="16"/>
        </w:rPr>
        <w:footnoteRef/>
      </w:r>
      <w:r w:rsidRPr="002F0422">
        <w:rPr>
          <w:sz w:val="16"/>
        </w:rPr>
        <w:t xml:space="preserve"> </w:t>
      </w:r>
      <w:r w:rsidRPr="002F0422">
        <w:rPr>
          <w:sz w:val="16"/>
        </w:rPr>
        <w:t>To adopt the description given to ACUS by Professor</w:t>
      </w:r>
      <w:r w:rsidRPr="002F0422">
        <w:rPr>
          <w:sz w:val="16"/>
        </w:rPr>
        <w:t xml:space="preserve"> </w:t>
      </w:r>
      <w:r w:rsidRPr="002F0422">
        <w:rPr>
          <w:sz w:val="16"/>
        </w:rPr>
        <w:t>Phil Fennell (Cardiff Law School) in his presentation</w:t>
      </w:r>
      <w:r w:rsidRPr="002F0422">
        <w:rPr>
          <w:sz w:val="16"/>
        </w:rPr>
        <w:t xml:space="preserve"> </w:t>
      </w:r>
      <w:r w:rsidRPr="002F0422">
        <w:rPr>
          <w:sz w:val="16"/>
        </w:rPr>
        <w:t xml:space="preserve">‘Community Treatment Orders: More than </w:t>
      </w:r>
      <w:proofErr w:type="spellStart"/>
      <w:r w:rsidRPr="002F0422">
        <w:rPr>
          <w:sz w:val="16"/>
        </w:rPr>
        <w:t>Windowdressing</w:t>
      </w:r>
      <w:proofErr w:type="spellEnd"/>
      <w:r w:rsidRPr="002F0422">
        <w:rPr>
          <w:sz w:val="16"/>
        </w:rPr>
        <w:t>?’</w:t>
      </w:r>
      <w:r w:rsidRPr="002F0422">
        <w:rPr>
          <w:sz w:val="16"/>
        </w:rPr>
        <w:t xml:space="preserve"> </w:t>
      </w:r>
      <w:r w:rsidRPr="002F0422">
        <w:rPr>
          <w:sz w:val="16"/>
        </w:rPr>
        <w:t>delivered at the Mental Health Law Conference</w:t>
      </w:r>
      <w:r w:rsidRPr="002F0422">
        <w:rPr>
          <w:sz w:val="16"/>
        </w:rPr>
        <w:t xml:space="preserve"> </w:t>
      </w:r>
      <w:r w:rsidRPr="002F0422">
        <w:rPr>
          <w:sz w:val="16"/>
        </w:rPr>
        <w:t>hosted by Central Law Training in London on 1 October</w:t>
      </w:r>
      <w:r w:rsidRPr="002F0422">
        <w:rPr>
          <w:sz w:val="16"/>
        </w:rPr>
        <w:t xml:space="preserve"> </w:t>
      </w:r>
      <w:r w:rsidRPr="002F0422">
        <w:rPr>
          <w:sz w:val="16"/>
        </w:rPr>
        <w:t>2007.</w:t>
      </w:r>
    </w:p>
  </w:footnote>
  <w:footnote w:id="8">
    <w:p w:rsidR="002F0422" w:rsidRPr="002F0422" w:rsidRDefault="002F0422" w:rsidP="002F0422">
      <w:pPr>
        <w:pStyle w:val="FootnoteText"/>
        <w:rPr>
          <w:sz w:val="16"/>
        </w:rPr>
      </w:pPr>
      <w:r w:rsidRPr="002F0422">
        <w:rPr>
          <w:rStyle w:val="FootnoteReference"/>
          <w:sz w:val="16"/>
        </w:rPr>
        <w:footnoteRef/>
      </w:r>
      <w:r w:rsidRPr="002F0422">
        <w:rPr>
          <w:sz w:val="16"/>
        </w:rPr>
        <w:t xml:space="preserve"> </w:t>
      </w:r>
      <w:proofErr w:type="gramStart"/>
      <w:r w:rsidRPr="002F0422">
        <w:rPr>
          <w:sz w:val="16"/>
        </w:rPr>
        <w:t>10th edition and First Supplement (2007), Sweet and</w:t>
      </w:r>
      <w:r w:rsidRPr="002F0422">
        <w:rPr>
          <w:sz w:val="16"/>
        </w:rPr>
        <w:t xml:space="preserve"> </w:t>
      </w:r>
      <w:r w:rsidRPr="002F0422">
        <w:rPr>
          <w:sz w:val="16"/>
        </w:rPr>
        <w:t>Maxwell.</w:t>
      </w:r>
      <w:proofErr w:type="gramEnd"/>
    </w:p>
  </w:footnote>
  <w:footnote w:id="9">
    <w:p w:rsidR="002F0422" w:rsidRPr="001E29CF" w:rsidRDefault="002F0422" w:rsidP="002F0422">
      <w:pPr>
        <w:pStyle w:val="FootnoteText"/>
        <w:rPr>
          <w:sz w:val="16"/>
        </w:rPr>
      </w:pPr>
      <w:r w:rsidRPr="001E29CF">
        <w:rPr>
          <w:rStyle w:val="FootnoteReference"/>
          <w:sz w:val="16"/>
        </w:rPr>
        <w:footnoteRef/>
      </w:r>
      <w:r w:rsidRPr="001E29CF">
        <w:rPr>
          <w:sz w:val="16"/>
        </w:rPr>
        <w:t xml:space="preserve"> </w:t>
      </w:r>
      <w:r w:rsidRPr="001E29CF">
        <w:rPr>
          <w:sz w:val="16"/>
        </w:rPr>
        <w:t>‘Mental Health in the Workplace (1) – ‘Stress’ Claims</w:t>
      </w:r>
      <w:r w:rsidRPr="001E29CF">
        <w:rPr>
          <w:sz w:val="16"/>
        </w:rPr>
        <w:t xml:space="preserve"> </w:t>
      </w:r>
      <w:r w:rsidRPr="001E29CF">
        <w:rPr>
          <w:sz w:val="16"/>
        </w:rPr>
        <w:t>and Workplace Standards and the European Framework</w:t>
      </w:r>
      <w:r w:rsidRPr="001E29CF">
        <w:rPr>
          <w:sz w:val="16"/>
        </w:rPr>
        <w:t xml:space="preserve"> </w:t>
      </w:r>
      <w:r w:rsidRPr="001E29CF">
        <w:rPr>
          <w:sz w:val="16"/>
        </w:rPr>
        <w:t>Directive on Health and Safety at Work ‘, JMHL May</w:t>
      </w:r>
      <w:r w:rsidRPr="001E29CF">
        <w:rPr>
          <w:sz w:val="16"/>
        </w:rPr>
        <w:t xml:space="preserve"> </w:t>
      </w:r>
      <w:r w:rsidRPr="001E29CF">
        <w:rPr>
          <w:sz w:val="16"/>
        </w:rPr>
        <w:t>2006 @ pp 53–65.</w:t>
      </w:r>
    </w:p>
  </w:footnote>
  <w:footnote w:id="10">
    <w:p w:rsidR="001E29CF" w:rsidRPr="001E29CF" w:rsidRDefault="001E29CF">
      <w:pPr>
        <w:pStyle w:val="FootnoteText"/>
        <w:rPr>
          <w:sz w:val="16"/>
        </w:rPr>
      </w:pPr>
      <w:r w:rsidRPr="001E29CF">
        <w:rPr>
          <w:rStyle w:val="FootnoteReference"/>
          <w:sz w:val="16"/>
        </w:rPr>
        <w:footnoteRef/>
      </w:r>
      <w:r w:rsidRPr="001E29CF">
        <w:rPr>
          <w:sz w:val="16"/>
        </w:rPr>
        <w:t xml:space="preserve"> </w:t>
      </w:r>
      <w:proofErr w:type="gramStart"/>
      <w:r w:rsidRPr="001E29CF">
        <w:rPr>
          <w:sz w:val="16"/>
        </w:rPr>
        <w:t>[2007] UKHL 27.</w:t>
      </w:r>
      <w:proofErr w:type="gramEnd"/>
    </w:p>
  </w:footnote>
  <w:footnote w:id="11">
    <w:p w:rsidR="001E29CF" w:rsidRPr="001E29CF" w:rsidRDefault="001E29CF">
      <w:pPr>
        <w:pStyle w:val="FootnoteText"/>
        <w:rPr>
          <w:sz w:val="16"/>
        </w:rPr>
      </w:pPr>
      <w:r w:rsidRPr="001E29CF">
        <w:rPr>
          <w:rStyle w:val="FootnoteReference"/>
          <w:sz w:val="16"/>
        </w:rPr>
        <w:footnoteRef/>
      </w:r>
      <w:r w:rsidRPr="001E29CF">
        <w:rPr>
          <w:sz w:val="16"/>
        </w:rPr>
        <w:t xml:space="preserve"> </w:t>
      </w:r>
      <w:proofErr w:type="gramStart"/>
      <w:r w:rsidRPr="001E29CF">
        <w:rPr>
          <w:sz w:val="16"/>
        </w:rPr>
        <w:t xml:space="preserve">[2007] EWCA </w:t>
      </w:r>
      <w:proofErr w:type="spellStart"/>
      <w:r w:rsidRPr="001E29CF">
        <w:rPr>
          <w:sz w:val="16"/>
        </w:rPr>
        <w:t>Civ</w:t>
      </w:r>
      <w:proofErr w:type="spellEnd"/>
      <w:r w:rsidRPr="001E29CF">
        <w:rPr>
          <w:sz w:val="16"/>
        </w:rPr>
        <w:t xml:space="preserve"> 687.</w:t>
      </w:r>
      <w:proofErr w:type="gramEnd"/>
    </w:p>
  </w:footnote>
  <w:footnote w:id="12">
    <w:p w:rsidR="001E29CF" w:rsidRPr="001E29CF" w:rsidRDefault="001E29CF">
      <w:pPr>
        <w:pStyle w:val="FootnoteText"/>
        <w:rPr>
          <w:sz w:val="16"/>
        </w:rPr>
      </w:pPr>
      <w:r w:rsidRPr="001E29CF">
        <w:rPr>
          <w:rStyle w:val="FootnoteReference"/>
          <w:sz w:val="16"/>
        </w:rPr>
        <w:footnoteRef/>
      </w:r>
      <w:r w:rsidRPr="001E29CF">
        <w:rPr>
          <w:sz w:val="16"/>
        </w:rPr>
        <w:t xml:space="preserve"> </w:t>
      </w:r>
      <w:proofErr w:type="gramStart"/>
      <w:r w:rsidRPr="001E29CF">
        <w:rPr>
          <w:sz w:val="16"/>
        </w:rPr>
        <w:t>[2007] UKHL 31.</w:t>
      </w:r>
      <w:proofErr w:type="gramEnd"/>
    </w:p>
  </w:footnote>
  <w:footnote w:id="13">
    <w:p w:rsidR="001E29CF" w:rsidRPr="001E29CF" w:rsidRDefault="001E29CF">
      <w:pPr>
        <w:pStyle w:val="FootnoteText"/>
        <w:rPr>
          <w:sz w:val="16"/>
        </w:rPr>
      </w:pPr>
      <w:r w:rsidRPr="001E29CF">
        <w:rPr>
          <w:rStyle w:val="FootnoteReference"/>
          <w:sz w:val="16"/>
        </w:rPr>
        <w:footnoteRef/>
      </w:r>
      <w:r w:rsidRPr="001E29CF">
        <w:rPr>
          <w:sz w:val="16"/>
        </w:rPr>
        <w:t xml:space="preserve"> </w:t>
      </w:r>
      <w:proofErr w:type="gramStart"/>
      <w:r w:rsidRPr="001E29CF">
        <w:rPr>
          <w:sz w:val="16"/>
        </w:rPr>
        <w:t>[2007] EWHC 946 (Admin.).</w:t>
      </w:r>
      <w:proofErr w:type="gramEnd"/>
    </w:p>
  </w:footnote>
  <w:footnote w:id="14">
    <w:p w:rsidR="001E29CF" w:rsidRPr="001E29CF" w:rsidRDefault="001E29CF">
      <w:pPr>
        <w:pStyle w:val="FootnoteText"/>
        <w:rPr>
          <w:sz w:val="16"/>
        </w:rPr>
      </w:pPr>
      <w:r w:rsidRPr="001E29CF">
        <w:rPr>
          <w:rStyle w:val="FootnoteReference"/>
          <w:sz w:val="16"/>
        </w:rPr>
        <w:footnoteRef/>
      </w:r>
      <w:r w:rsidRPr="001E29CF">
        <w:rPr>
          <w:sz w:val="16"/>
        </w:rPr>
        <w:t xml:space="preserve"> Jessica Kingsley (2007).</w:t>
      </w:r>
    </w:p>
  </w:footnote>
  <w:footnote w:id="15">
    <w:p w:rsidR="001E29CF" w:rsidRPr="001E29CF" w:rsidRDefault="001E29CF">
      <w:pPr>
        <w:pStyle w:val="FootnoteText"/>
        <w:rPr>
          <w:sz w:val="16"/>
        </w:rPr>
      </w:pPr>
      <w:r w:rsidRPr="001E29CF">
        <w:rPr>
          <w:rStyle w:val="FootnoteReference"/>
          <w:sz w:val="16"/>
        </w:rPr>
        <w:footnoteRef/>
      </w:r>
      <w:r w:rsidRPr="001E29CF">
        <w:rPr>
          <w:sz w:val="16"/>
        </w:rPr>
        <w:t xml:space="preserve"> </w:t>
      </w:r>
      <w:proofErr w:type="gramStart"/>
      <w:r w:rsidRPr="001E29CF">
        <w:rPr>
          <w:sz w:val="16"/>
        </w:rPr>
        <w:t>LexisNexis (2007).</w:t>
      </w:r>
      <w:proofErr w:type="gramEnd"/>
    </w:p>
  </w:footnote>
  <w:footnote w:id="16">
    <w:p w:rsidR="001E29CF" w:rsidRPr="001E29CF" w:rsidRDefault="001E29CF">
      <w:pPr>
        <w:pStyle w:val="FootnoteText"/>
        <w:rPr>
          <w:sz w:val="16"/>
        </w:rPr>
      </w:pPr>
      <w:r w:rsidRPr="001E29CF">
        <w:rPr>
          <w:rStyle w:val="FootnoteReference"/>
          <w:sz w:val="16"/>
        </w:rPr>
        <w:footnoteRef/>
      </w:r>
      <w:r w:rsidRPr="001E29CF">
        <w:rPr>
          <w:sz w:val="16"/>
        </w:rPr>
        <w:t xml:space="preserve"> </w:t>
      </w:r>
      <w:proofErr w:type="spellStart"/>
      <w:r w:rsidRPr="001E29CF">
        <w:rPr>
          <w:sz w:val="16"/>
        </w:rPr>
        <w:t>Tottel</w:t>
      </w:r>
      <w:proofErr w:type="spellEnd"/>
      <w:r w:rsidRPr="001E29CF">
        <w:rPr>
          <w:sz w:val="16"/>
        </w:rPr>
        <w:t xml:space="preserve"> Publishing (2006).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6"/>
    <w:rsid w:val="001E29CF"/>
    <w:rsid w:val="002F0422"/>
    <w:rsid w:val="00574A10"/>
    <w:rsid w:val="00575306"/>
    <w:rsid w:val="0064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4A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A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A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4A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A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95AB-1D6F-4EE9-BED8-586273B1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1618</Words>
  <Characters>9224</Characters>
  <Application>Microsoft Office Word</Application>
  <DocSecurity>0</DocSecurity>
  <Lines>76</Lines>
  <Paragraphs>21</Paragraphs>
  <ScaleCrop>false</ScaleCrop>
  <Company>Northumbria University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4</cp:revision>
  <dcterms:created xsi:type="dcterms:W3CDTF">2014-10-22T13:44:00Z</dcterms:created>
  <dcterms:modified xsi:type="dcterms:W3CDTF">2014-10-22T14:29:00Z</dcterms:modified>
</cp:coreProperties>
</file>