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987" w:rsidRPr="00CE7987" w:rsidRDefault="00CE7987" w:rsidP="00CE7987">
      <w:pPr>
        <w:suppressAutoHyphens/>
        <w:spacing w:after="120" w:line="240" w:lineRule="auto"/>
        <w:rPr>
          <w:rFonts w:ascii="Calibri" w:hAnsi="Calibri"/>
          <w:b/>
          <w:sz w:val="96"/>
          <w:szCs w:val="96"/>
        </w:rPr>
      </w:pPr>
      <w:r w:rsidRPr="00CE7987">
        <w:rPr>
          <w:rFonts w:ascii="Calibri" w:hAnsi="Calibri"/>
          <w:b/>
          <w:sz w:val="96"/>
          <w:szCs w:val="96"/>
        </w:rPr>
        <w:t>Book Reviews</w:t>
      </w:r>
    </w:p>
    <w:p w:rsidR="00CE7987" w:rsidRPr="00CE7987" w:rsidRDefault="00CE7987" w:rsidP="00CE7987">
      <w:pPr>
        <w:suppressAutoHyphens/>
        <w:spacing w:after="120" w:line="240" w:lineRule="auto"/>
        <w:rPr>
          <w:rFonts w:ascii="Calibri" w:hAnsi="Calibri"/>
          <w:sz w:val="24"/>
        </w:rPr>
      </w:pPr>
    </w:p>
    <w:p w:rsidR="00CE7987" w:rsidRPr="00CE7987" w:rsidRDefault="00CE7987" w:rsidP="00CE7987">
      <w:pPr>
        <w:suppressAutoHyphens/>
        <w:spacing w:after="120" w:line="240" w:lineRule="auto"/>
        <w:rPr>
          <w:rFonts w:ascii="Calibri" w:hAnsi="Calibri"/>
          <w:b/>
          <w:i/>
          <w:sz w:val="28"/>
        </w:rPr>
      </w:pPr>
      <w:r w:rsidRPr="00CE7987">
        <w:rPr>
          <w:rFonts w:ascii="Calibri" w:hAnsi="Calibri"/>
          <w:b/>
          <w:i/>
          <w:sz w:val="28"/>
        </w:rPr>
        <w:t xml:space="preserve">Mental Disability and the European Convention on Human Rights by Peter Bartlett, </w:t>
      </w:r>
      <w:r w:rsidRPr="00CE7987">
        <w:rPr>
          <w:rFonts w:ascii="Calibri" w:hAnsi="Calibri"/>
          <w:b/>
          <w:i/>
          <w:sz w:val="28"/>
        </w:rPr>
        <w:t>Oliver Lewis and Oliver Thorold</w:t>
      </w:r>
    </w:p>
    <w:p w:rsidR="00CE7987" w:rsidRPr="00CE7987" w:rsidRDefault="00CE7987" w:rsidP="00CE7987">
      <w:pPr>
        <w:suppressAutoHyphens/>
        <w:spacing w:after="120" w:line="240" w:lineRule="auto"/>
        <w:rPr>
          <w:rFonts w:ascii="Calibri" w:hAnsi="Calibri"/>
          <w:b/>
          <w:i/>
          <w:sz w:val="28"/>
        </w:rPr>
      </w:pPr>
      <w:r w:rsidRPr="00CE7987">
        <w:rPr>
          <w:rFonts w:ascii="Calibri" w:hAnsi="Calibri"/>
          <w:b/>
          <w:i/>
          <w:sz w:val="28"/>
        </w:rPr>
        <w:t xml:space="preserve">Published </w:t>
      </w:r>
      <w:r w:rsidRPr="00CE7987">
        <w:rPr>
          <w:rFonts w:ascii="Calibri" w:hAnsi="Calibri"/>
          <w:b/>
          <w:i/>
          <w:sz w:val="28"/>
        </w:rPr>
        <w:t xml:space="preserve">by </w:t>
      </w:r>
      <w:proofErr w:type="spellStart"/>
      <w:r w:rsidRPr="00CE7987">
        <w:rPr>
          <w:rFonts w:ascii="Calibri" w:hAnsi="Calibri"/>
          <w:b/>
          <w:i/>
          <w:sz w:val="28"/>
        </w:rPr>
        <w:t>Martinus</w:t>
      </w:r>
      <w:proofErr w:type="spellEnd"/>
      <w:r w:rsidRPr="00CE7987">
        <w:rPr>
          <w:rFonts w:ascii="Calibri" w:hAnsi="Calibri"/>
          <w:b/>
          <w:i/>
          <w:sz w:val="28"/>
        </w:rPr>
        <w:t xml:space="preserve"> </w:t>
      </w:r>
      <w:proofErr w:type="spellStart"/>
      <w:r w:rsidRPr="00CE7987">
        <w:rPr>
          <w:rFonts w:ascii="Calibri" w:hAnsi="Calibri"/>
          <w:b/>
          <w:i/>
          <w:sz w:val="28"/>
        </w:rPr>
        <w:t>Nijhoff</w:t>
      </w:r>
      <w:proofErr w:type="spellEnd"/>
      <w:r w:rsidRPr="00CE7987">
        <w:rPr>
          <w:rFonts w:ascii="Calibri" w:hAnsi="Calibri"/>
          <w:b/>
          <w:i/>
          <w:sz w:val="28"/>
        </w:rPr>
        <w:t xml:space="preserve"> (2006) €130</w:t>
      </w:r>
    </w:p>
    <w:p w:rsidR="00CE7987" w:rsidRPr="00CE7987" w:rsidRDefault="00CE7987" w:rsidP="00CE7987">
      <w:pPr>
        <w:suppressAutoHyphens/>
        <w:spacing w:after="120" w:line="240" w:lineRule="auto"/>
        <w:rPr>
          <w:rFonts w:ascii="Calibri" w:hAnsi="Calibri"/>
          <w:sz w:val="24"/>
        </w:rPr>
      </w:pP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This book examines in depth the way the European Convention on Human Rights has been used to protect and enhance the rights of individuals who suffer from mental disability, whether from mental illness, intellectual or mental impairment, brain injury or personality disorder. Mental disability has now become a major issue for the member states of the Convention as disability discrimination legislation and public awareness have brought disability issues into the mainstream of society. It has been estimated that one in four people will suffer some form of mental disability during their lifetimes, which may or may not result in a degree of mental incapacity. The consequences of this are not only the personal suffering experienced by the individual and their families and friends but also adverse legal consequences, including potential loss of liberty, compulsory trea</w:t>
      </w:r>
      <w:r>
        <w:rPr>
          <w:rFonts w:ascii="Calibri" w:hAnsi="Calibri"/>
          <w:sz w:val="24"/>
        </w:rPr>
        <w:t>tment and loss of legal status.</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 xml:space="preserve">The authors set out extensively the case law which has evolved from the Convention as it applies to mental disability and go on to suggest ways in which the Convention can be developed in the future. They argue that the Convention has been used in ways which the draftsmen probably never originally envisaged and point out that the only express mention of mental disability is contained in Article 5(1)(e), the right to liberty. They argue that the European Court has been unduly conservative in the way it has developed the law, despite acknowledging that the Convention is a “living tree”. Since the landmark judgment in </w:t>
      </w:r>
      <w:proofErr w:type="spellStart"/>
      <w:r w:rsidRPr="00CE7987">
        <w:rPr>
          <w:rFonts w:ascii="Calibri" w:hAnsi="Calibri"/>
          <w:i/>
          <w:sz w:val="24"/>
        </w:rPr>
        <w:t>Winterwerp</w:t>
      </w:r>
      <w:proofErr w:type="spellEnd"/>
      <w:r w:rsidRPr="00CE7987">
        <w:rPr>
          <w:rFonts w:ascii="Calibri" w:hAnsi="Calibri"/>
          <w:i/>
          <w:sz w:val="24"/>
        </w:rPr>
        <w:t xml:space="preserve"> v the Netherlands</w:t>
      </w:r>
      <w:r w:rsidRPr="00CE7987">
        <w:rPr>
          <w:rFonts w:ascii="Calibri" w:hAnsi="Calibri"/>
          <w:sz w:val="24"/>
        </w:rPr>
        <w:t xml:space="preserve"> in 1979, the case law of the European Court has not been as fertile and prodigious as would have been hoped. The authors suggest that this is not a reflection of the fact that the rights of the disabled are being well protected by member states but rather that this illustrates the difficulties faced by a vulnerable section of society in challenging laws and conditions which at best are pate</w:t>
      </w:r>
      <w:r>
        <w:rPr>
          <w:rFonts w:ascii="Calibri" w:hAnsi="Calibri"/>
          <w:sz w:val="24"/>
        </w:rPr>
        <w:t>rnalistic and at worst abusive.</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The authors deal with each of the substantive rights guaranteed by the Convention, starting with the right to liberty enshrined by Article 5. This is the area which has attracted most cases. The meaning of detention and deprivation of liberty is discussed in detail together with the exceptions set out in the Article. In particular, for there to be lawful detention of a person “of unsound mind”, the detention must have some kind of therapeutic benefit and there needs to be a process of periodic review to refle</w:t>
      </w:r>
      <w:r>
        <w:rPr>
          <w:rFonts w:ascii="Calibri" w:hAnsi="Calibri"/>
          <w:sz w:val="24"/>
        </w:rPr>
        <w:t>ct the recovery of the patient.</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 xml:space="preserve">The next chapter is devoted to institutional standards and controls. Three broad categories are identified. Firstly, poor physical standards such as overcrowding, insufficient heating, as well as personal issues such as failure to accommodate religious or other sensitivities, can give rise to legal challenge. Secondly, detention policies can be over-controlling, for example </w:t>
      </w:r>
      <w:r w:rsidRPr="00CE7987">
        <w:rPr>
          <w:rFonts w:ascii="Calibri" w:hAnsi="Calibri"/>
          <w:sz w:val="24"/>
        </w:rPr>
        <w:lastRenderedPageBreak/>
        <w:t>the use of seclusion or segregation. Finally, the right to a private life w</w:t>
      </w:r>
      <w:r>
        <w:rPr>
          <w:rFonts w:ascii="Calibri" w:hAnsi="Calibri"/>
          <w:sz w:val="24"/>
        </w:rPr>
        <w:t>ill be affected to some degree.</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Medical treatment and the issues of consent and incapacity are dealt with. The clear overlap between inhuman and degrading treatment under Article 3 and the right to autonomy under Article 8 has been examined by the European Court a number of times. The court has, however, not ruled as unlawful the compulsory treatment of a detained mental patient with capacity. It is suggested that this is an area where the Court could push the boundaries, particularly in the light of what the authors call the “soft law” of United Nations conventions and European Council recommendations. This body of international instruments is increasingly being used to argue that people with capacity should no longer be forced to undergo such t</w:t>
      </w:r>
      <w:r>
        <w:rPr>
          <w:rFonts w:ascii="Calibri" w:hAnsi="Calibri"/>
          <w:sz w:val="24"/>
        </w:rPr>
        <w:t>reatment without their consent.</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 xml:space="preserve">The right to life under Article 2 carries with it the duty to prevent death and the authors examine the cases relating to suicide and deaths in institutions. Although not expressed in Article 2, the European Court has established that procedural obligations are required in order to make real the substantive obligation to prevent death. So, for example, the State must provide some form of effective official investigation when individuals have been killed as a result of the use of force and State agents must be held accountable. Legal aid should also be made available to relatives who would otherwise not be able to prosecute their claims. Because of the particularly vulnerable nature of a person with mental disabilities, such procedures </w:t>
      </w:r>
      <w:r>
        <w:rPr>
          <w:rFonts w:ascii="Calibri" w:hAnsi="Calibri"/>
          <w:sz w:val="24"/>
        </w:rPr>
        <w:t>need to be rigorously enforced.</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A large part of the book is devoted to impaired decision-making. The authors argue that since legal capacity can fluctuate and that capacity depends on the factual matter of the decision to be made, the “one size fits all” approach adopted by some States can no longer be tolerated. However, in order for an individual to be allowed to enjoy his or her rights under Article 8, the authors argue that the State has a positive obligation to protect those rights. The State must therefore provide a mechanism for tailored guardianship, adequate supervision of a guardian by a court of protection and access by the individual to a court for review of a guardianship or similar order. Without this assistance, the right for a disabled individual to manage his or he</w:t>
      </w:r>
      <w:r>
        <w:rPr>
          <w:rFonts w:ascii="Calibri" w:hAnsi="Calibri"/>
          <w:sz w:val="24"/>
        </w:rPr>
        <w:t>r own affairs remains illusory.</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 xml:space="preserve">Having focussed on the classic Convention rights, the authors discuss the fundamental “right” of every person to be a full member of society. Disabled people have to overcome significant barriers to integration. Discrimination is still a major issue and more use could be made of Article 14. The authors bring together the jurisprudence of the European Court to suggest how the Convention can be used in a dynamic way to bring about change in the way society views disabled people. While acknowledging resource implications, they suggest that there should be a basic right to live in the community and that the State should put into place the facilities to do this such as the provision of social housing or community treatment. Likewise, positive obligations could be imposed on the State to ensure that disabled people can access education, manage their property affairs, marry and have children, vote, form associations and have the right to engage in rewarding work. In all these areas much needs to be done. The raw material of the Convention is there but the question is whether the European Court is willing to expand its remit to take into account the </w:t>
      </w:r>
      <w:r>
        <w:rPr>
          <w:rFonts w:ascii="Calibri" w:hAnsi="Calibri"/>
          <w:sz w:val="24"/>
        </w:rPr>
        <w:t>new generation of human rights.</w:t>
      </w:r>
    </w:p>
    <w:p w:rsidR="00CE7987" w:rsidRPr="00CE7987" w:rsidRDefault="00CE7987" w:rsidP="00CE7987">
      <w:pPr>
        <w:suppressAutoHyphens/>
        <w:spacing w:after="120" w:line="240" w:lineRule="auto"/>
        <w:rPr>
          <w:rFonts w:ascii="Calibri" w:hAnsi="Calibri"/>
          <w:sz w:val="24"/>
        </w:rPr>
      </w:pPr>
      <w:r w:rsidRPr="00CE7987">
        <w:rPr>
          <w:rFonts w:ascii="Calibri" w:hAnsi="Calibri"/>
          <w:sz w:val="24"/>
        </w:rPr>
        <w:t xml:space="preserve">The final chapters of the book explain the procedure at the European Court and highlight the crucial need for proper legal representation, which is essential if disabled people are </w:t>
      </w:r>
      <w:r w:rsidRPr="00CE7987">
        <w:rPr>
          <w:rFonts w:ascii="Calibri" w:hAnsi="Calibri"/>
          <w:sz w:val="24"/>
        </w:rPr>
        <w:lastRenderedPageBreak/>
        <w:t>able to enjoy their Convention rights. The authors conclude by saying that for too long people with disabilities, and people with mental health problems and intellectual disabilities in particular, have been left at the margins of the human rights debate. The Convention offers the possibility to redress this. Some change has started</w:t>
      </w:r>
      <w:r>
        <w:rPr>
          <w:rFonts w:ascii="Calibri" w:hAnsi="Calibri"/>
          <w:sz w:val="24"/>
        </w:rPr>
        <w:t xml:space="preserve"> but there is a long way to go.</w:t>
      </w:r>
    </w:p>
    <w:p w:rsidR="00CE7987" w:rsidRDefault="00CE7987" w:rsidP="00CE7987">
      <w:pPr>
        <w:suppressAutoHyphens/>
        <w:spacing w:after="120" w:line="240" w:lineRule="auto"/>
        <w:rPr>
          <w:rFonts w:ascii="Calibri" w:hAnsi="Calibri"/>
          <w:sz w:val="24"/>
        </w:rPr>
      </w:pPr>
      <w:r w:rsidRPr="00CE7987">
        <w:rPr>
          <w:rFonts w:ascii="Calibri" w:hAnsi="Calibri"/>
          <w:sz w:val="24"/>
        </w:rPr>
        <w:t>This book is well written and very readable. It is clearly aimed at those committed to campaigning for disability rights and lawyers representing the mentally disabled. Not only does it provide a comprehensive overview of Convention law as it currently stands but it imaginatively suggests future developments which the European Court could pursue. Case citations are full and accurate and there are helpful appendices setting out the core materials. These include the Convention itself, the key Protocols, the European Convention for the Prevention of Torture and Inhuman or Degrading Treatment or Punishment, the Recommendation of the Committee of Ministers to Member States Concerning the Protection of the Human Rights and Dignity of Persons with Mental Disorder, and the Recommendation of the Committee of Ministers to Member States Concerning the Legal Protection of Incapable Adults. There is also a list of available internet resources and a final appendix gives some useful practical advice for lawyers representing p</w:t>
      </w:r>
      <w:r>
        <w:rPr>
          <w:rFonts w:ascii="Calibri" w:hAnsi="Calibri"/>
          <w:sz w:val="24"/>
        </w:rPr>
        <w:t>eople with mental disabilities.</w:t>
      </w:r>
    </w:p>
    <w:p w:rsidR="008E0D20" w:rsidRPr="00CE7987" w:rsidRDefault="008E0D20" w:rsidP="00CE7987">
      <w:pPr>
        <w:suppressAutoHyphens/>
        <w:spacing w:after="120" w:line="240" w:lineRule="auto"/>
        <w:rPr>
          <w:rFonts w:ascii="Calibri" w:hAnsi="Calibri"/>
          <w:sz w:val="24"/>
        </w:rPr>
      </w:pPr>
      <w:bookmarkStart w:id="0" w:name="_GoBack"/>
      <w:bookmarkEnd w:id="0"/>
    </w:p>
    <w:p w:rsidR="008E0D20" w:rsidRDefault="008E0D20" w:rsidP="00CE7987">
      <w:pPr>
        <w:suppressAutoHyphens/>
        <w:spacing w:after="120" w:line="240" w:lineRule="auto"/>
        <w:rPr>
          <w:rFonts w:ascii="Calibri" w:hAnsi="Calibri"/>
          <w:sz w:val="24"/>
        </w:rPr>
      </w:pPr>
      <w:r>
        <w:rPr>
          <w:rFonts w:ascii="Calibri" w:hAnsi="Calibri"/>
          <w:sz w:val="24"/>
        </w:rPr>
        <w:t xml:space="preserve">Michael </w:t>
      </w:r>
      <w:proofErr w:type="spellStart"/>
      <w:r>
        <w:rPr>
          <w:rFonts w:ascii="Calibri" w:hAnsi="Calibri"/>
          <w:sz w:val="24"/>
        </w:rPr>
        <w:t>Konstam</w:t>
      </w:r>
      <w:proofErr w:type="spellEnd"/>
    </w:p>
    <w:p w:rsidR="008E0D20" w:rsidRDefault="008E0D20" w:rsidP="00CE7987">
      <w:pPr>
        <w:suppressAutoHyphens/>
        <w:spacing w:after="120" w:line="240" w:lineRule="auto"/>
        <w:rPr>
          <w:rFonts w:ascii="Calibri" w:hAnsi="Calibri"/>
          <w:sz w:val="24"/>
        </w:rPr>
      </w:pPr>
      <w:r>
        <w:rPr>
          <w:rFonts w:ascii="Calibri" w:hAnsi="Calibri"/>
          <w:sz w:val="24"/>
        </w:rPr>
        <w:t>Barrister</w:t>
      </w:r>
    </w:p>
    <w:p w:rsidR="0030348E" w:rsidRPr="00CE7987" w:rsidRDefault="00CE7987" w:rsidP="00CE7987">
      <w:pPr>
        <w:suppressAutoHyphens/>
        <w:spacing w:after="120" w:line="240" w:lineRule="auto"/>
        <w:rPr>
          <w:rFonts w:ascii="Calibri" w:hAnsi="Calibri"/>
          <w:sz w:val="24"/>
        </w:rPr>
      </w:pPr>
      <w:r w:rsidRPr="00CE7987">
        <w:rPr>
          <w:rFonts w:ascii="Calibri" w:hAnsi="Calibri"/>
          <w:sz w:val="24"/>
        </w:rPr>
        <w:t>Mind Legal Unit (London)</w:t>
      </w:r>
    </w:p>
    <w:sectPr w:rsidR="0030348E" w:rsidRPr="00CE7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7A"/>
    <w:rsid w:val="001D317A"/>
    <w:rsid w:val="0030348E"/>
    <w:rsid w:val="008E0D20"/>
    <w:rsid w:val="00CE7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2</cp:revision>
  <dcterms:created xsi:type="dcterms:W3CDTF">2014-11-14T15:45:00Z</dcterms:created>
  <dcterms:modified xsi:type="dcterms:W3CDTF">2014-11-14T15:51:00Z</dcterms:modified>
</cp:coreProperties>
</file>