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C1" w:rsidRPr="009D7F0A" w:rsidRDefault="003A01C1" w:rsidP="009D7F0A">
      <w:pPr>
        <w:suppressAutoHyphens/>
        <w:spacing w:after="120" w:line="240" w:lineRule="auto"/>
        <w:rPr>
          <w:rFonts w:ascii="Calibri" w:hAnsi="Calibri"/>
          <w:b/>
          <w:sz w:val="96"/>
          <w:szCs w:val="96"/>
        </w:rPr>
      </w:pPr>
      <w:r w:rsidRPr="009D7F0A">
        <w:rPr>
          <w:rFonts w:ascii="Calibri" w:hAnsi="Calibri"/>
          <w:b/>
          <w:sz w:val="96"/>
          <w:szCs w:val="96"/>
        </w:rPr>
        <w:t>Amending the Mental Capacity Act 2005 to pro</w:t>
      </w:r>
      <w:r w:rsidR="009D7F0A" w:rsidRPr="009D7F0A">
        <w:rPr>
          <w:rFonts w:ascii="Calibri" w:hAnsi="Calibri"/>
          <w:b/>
          <w:sz w:val="96"/>
          <w:szCs w:val="96"/>
        </w:rPr>
        <w:t>vide for deprivation of liberty</w:t>
      </w:r>
    </w:p>
    <w:p w:rsidR="009D7F0A" w:rsidRDefault="009D7F0A" w:rsidP="009D7F0A">
      <w:pPr>
        <w:suppressAutoHyphens/>
        <w:spacing w:after="120" w:line="240" w:lineRule="auto"/>
        <w:rPr>
          <w:rFonts w:ascii="Calibri" w:hAnsi="Calibri"/>
          <w:sz w:val="24"/>
        </w:rPr>
      </w:pPr>
    </w:p>
    <w:p w:rsidR="003A01C1" w:rsidRPr="009D7F0A" w:rsidRDefault="009D7F0A" w:rsidP="009D7F0A">
      <w:pPr>
        <w:suppressAutoHyphens/>
        <w:spacing w:after="120" w:line="240" w:lineRule="auto"/>
        <w:rPr>
          <w:rFonts w:ascii="Calibri" w:hAnsi="Calibri"/>
          <w:b/>
          <w:i/>
          <w:sz w:val="28"/>
        </w:rPr>
      </w:pPr>
      <w:r w:rsidRPr="009D7F0A">
        <w:rPr>
          <w:rFonts w:ascii="Calibri" w:hAnsi="Calibri"/>
          <w:b/>
          <w:i/>
          <w:sz w:val="28"/>
        </w:rPr>
        <w:t>Robert Robinson</w:t>
      </w:r>
      <w:r w:rsidRPr="009D7F0A">
        <w:rPr>
          <w:rStyle w:val="FootnoteReference"/>
          <w:rFonts w:ascii="Calibri" w:hAnsi="Calibri"/>
          <w:b/>
          <w:i/>
          <w:sz w:val="28"/>
        </w:rPr>
        <w:footnoteReference w:id="1"/>
      </w:r>
    </w:p>
    <w:p w:rsidR="009D7F0A" w:rsidRDefault="009D7F0A" w:rsidP="009D7F0A">
      <w:pPr>
        <w:suppressAutoHyphens/>
        <w:spacing w:after="120" w:line="240" w:lineRule="auto"/>
        <w:rPr>
          <w:rFonts w:ascii="Calibri" w:hAnsi="Calibri"/>
          <w:sz w:val="24"/>
        </w:rPr>
      </w:pPr>
    </w:p>
    <w:p w:rsidR="003A01C1" w:rsidRPr="009D7F0A" w:rsidRDefault="009D7F0A" w:rsidP="009D7F0A">
      <w:pPr>
        <w:suppressAutoHyphens/>
        <w:spacing w:after="120" w:line="240" w:lineRule="auto"/>
        <w:rPr>
          <w:rFonts w:ascii="Calibri" w:hAnsi="Calibri"/>
          <w:b/>
          <w:sz w:val="28"/>
        </w:rPr>
      </w:pPr>
      <w:r w:rsidRPr="009D7F0A">
        <w:rPr>
          <w:rFonts w:ascii="Calibri" w:hAnsi="Calibri"/>
          <w:b/>
          <w:sz w:val="28"/>
        </w:rPr>
        <w:t>Introduction</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Government’s Mental Health Bill</w:t>
      </w:r>
      <w:r w:rsidR="009D7F0A">
        <w:rPr>
          <w:rStyle w:val="FootnoteReference"/>
          <w:rFonts w:ascii="Calibri" w:hAnsi="Calibri"/>
          <w:sz w:val="24"/>
        </w:rPr>
        <w:footnoteReference w:id="2"/>
      </w:r>
      <w:r w:rsidRPr="009D7F0A">
        <w:rPr>
          <w:rFonts w:ascii="Calibri" w:hAnsi="Calibri"/>
          <w:sz w:val="24"/>
        </w:rPr>
        <w:t xml:space="preserve"> includes amendments to the Mental Capacity Act 2005 (MCA) intended to remedy the defects in domestic law identified by the European Court of Human Rights (</w:t>
      </w:r>
      <w:proofErr w:type="spellStart"/>
      <w:r w:rsidRPr="009D7F0A">
        <w:rPr>
          <w:rFonts w:ascii="Calibri" w:hAnsi="Calibri"/>
          <w:sz w:val="24"/>
        </w:rPr>
        <w:t>ECtHR</w:t>
      </w:r>
      <w:proofErr w:type="spellEnd"/>
      <w:r w:rsidRPr="009D7F0A">
        <w:rPr>
          <w:rFonts w:ascii="Calibri" w:hAnsi="Calibri"/>
          <w:sz w:val="24"/>
        </w:rPr>
        <w:t xml:space="preserve">) in </w:t>
      </w:r>
      <w:r w:rsidRPr="00B92DEF">
        <w:rPr>
          <w:rFonts w:ascii="Calibri" w:hAnsi="Calibri"/>
          <w:i/>
          <w:sz w:val="24"/>
        </w:rPr>
        <w:t>HL v United</w:t>
      </w:r>
      <w:r w:rsidR="009D7F0A" w:rsidRPr="00B92DEF">
        <w:rPr>
          <w:rFonts w:ascii="Calibri" w:hAnsi="Calibri"/>
          <w:i/>
          <w:sz w:val="24"/>
        </w:rPr>
        <w:t xml:space="preserve"> Kingdom</w:t>
      </w:r>
      <w:r w:rsidR="009D7F0A">
        <w:rPr>
          <w:rFonts w:ascii="Calibri" w:hAnsi="Calibri"/>
          <w:sz w:val="24"/>
        </w:rPr>
        <w:t xml:space="preserve"> (the </w:t>
      </w:r>
      <w:proofErr w:type="spellStart"/>
      <w:r w:rsidR="009D7F0A">
        <w:rPr>
          <w:rFonts w:ascii="Calibri" w:hAnsi="Calibri"/>
          <w:sz w:val="24"/>
        </w:rPr>
        <w:t>Bournewood</w:t>
      </w:r>
      <w:proofErr w:type="spellEnd"/>
      <w:r w:rsidR="009D7F0A">
        <w:rPr>
          <w:rFonts w:ascii="Calibri" w:hAnsi="Calibri"/>
          <w:sz w:val="24"/>
        </w:rPr>
        <w:t xml:space="preserve"> case).</w:t>
      </w:r>
      <w:r w:rsidR="009D7F0A">
        <w:rPr>
          <w:rStyle w:val="FootnoteReference"/>
          <w:rFonts w:ascii="Calibri" w:hAnsi="Calibri"/>
          <w:sz w:val="24"/>
        </w:rPr>
        <w:footnoteReference w:id="3"/>
      </w:r>
      <w:r w:rsidRPr="009D7F0A">
        <w:rPr>
          <w:rFonts w:ascii="Calibri" w:hAnsi="Calibri"/>
          <w:sz w:val="24"/>
        </w:rPr>
        <w:t xml:space="preserve"> The </w:t>
      </w:r>
      <w:proofErr w:type="spellStart"/>
      <w:r w:rsidRPr="009D7F0A">
        <w:rPr>
          <w:rFonts w:ascii="Calibri" w:hAnsi="Calibri"/>
          <w:sz w:val="24"/>
        </w:rPr>
        <w:t>ECtHR</w:t>
      </w:r>
      <w:proofErr w:type="spellEnd"/>
      <w:r w:rsidRPr="009D7F0A">
        <w:rPr>
          <w:rFonts w:ascii="Calibri" w:hAnsi="Calibri"/>
          <w:sz w:val="24"/>
        </w:rPr>
        <w:t xml:space="preserve"> found that where a mentally incapacitated adult had been deprived of his liberty by informal admis</w:t>
      </w:r>
      <w:r w:rsidR="009D7F0A">
        <w:rPr>
          <w:rFonts w:ascii="Calibri" w:hAnsi="Calibri"/>
          <w:sz w:val="24"/>
        </w:rPr>
        <w:t>sion to a psychiatric hospital:</w:t>
      </w:r>
    </w:p>
    <w:p w:rsidR="003A01C1" w:rsidRPr="009D7F0A" w:rsidRDefault="003A01C1" w:rsidP="009D7F0A">
      <w:pPr>
        <w:pStyle w:val="ListParagraph"/>
        <w:numPr>
          <w:ilvl w:val="0"/>
          <w:numId w:val="1"/>
        </w:numPr>
        <w:suppressAutoHyphens/>
        <w:spacing w:after="120" w:line="240" w:lineRule="auto"/>
        <w:rPr>
          <w:rFonts w:ascii="Calibri" w:hAnsi="Calibri"/>
          <w:sz w:val="24"/>
        </w:rPr>
      </w:pPr>
      <w:r w:rsidRPr="009D7F0A">
        <w:rPr>
          <w:rFonts w:ascii="Calibri" w:hAnsi="Calibri"/>
          <w:sz w:val="24"/>
        </w:rPr>
        <w:t>the common law doctrine of necessity did not satisfy the “in accordance with a procedure prescribed by law” requirement in Article 5(1) of the European Convent</w:t>
      </w:r>
      <w:r w:rsidR="009D7F0A" w:rsidRPr="009D7F0A">
        <w:rPr>
          <w:rFonts w:ascii="Calibri" w:hAnsi="Calibri"/>
          <w:sz w:val="24"/>
        </w:rPr>
        <w:t>ion on Human Rights (ECHR); and</w:t>
      </w:r>
    </w:p>
    <w:p w:rsidR="003A01C1" w:rsidRPr="009D7F0A" w:rsidRDefault="003A01C1" w:rsidP="009D7F0A">
      <w:pPr>
        <w:pStyle w:val="ListParagraph"/>
        <w:numPr>
          <w:ilvl w:val="0"/>
          <w:numId w:val="1"/>
        </w:numPr>
        <w:suppressAutoHyphens/>
        <w:spacing w:after="120" w:line="240" w:lineRule="auto"/>
        <w:rPr>
          <w:rFonts w:ascii="Calibri" w:hAnsi="Calibri"/>
          <w:sz w:val="24"/>
        </w:rPr>
      </w:pPr>
      <w:r w:rsidRPr="009D7F0A">
        <w:rPr>
          <w:rFonts w:ascii="Calibri" w:hAnsi="Calibri"/>
          <w:sz w:val="24"/>
        </w:rPr>
        <w:t>pre-Human Rights Act habeas corpus and judicial review proceedings were not capable of performing the court’s function under Article 5(4) to review the lawfulness of a deprivation of libert</w:t>
      </w:r>
      <w:r w:rsidR="009D7F0A" w:rsidRPr="009D7F0A">
        <w:rPr>
          <w:rFonts w:ascii="Calibri" w:hAnsi="Calibri"/>
          <w:sz w:val="24"/>
        </w:rPr>
        <w:t>y arising from mental disorder.</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judgment is relevant to anyone who has a mental disorder and is an informal patient in a psychiatric hospital or is resident in a care home, but only if the care regime deprives them of their liberty. The problem for the Government is that some people who may be deprived of their liberty in such circumstances are outside the scope of the Mental Health Act 1983 (MHA) detention powers and are thus caught in what has come to be referred to as the </w:t>
      </w:r>
      <w:proofErr w:type="spellStart"/>
      <w:r w:rsidRPr="009D7F0A">
        <w:rPr>
          <w:rFonts w:ascii="Calibri" w:hAnsi="Calibri"/>
          <w:sz w:val="24"/>
        </w:rPr>
        <w:t>Bournewood</w:t>
      </w:r>
      <w:proofErr w:type="spellEnd"/>
      <w:r w:rsidRPr="009D7F0A">
        <w:rPr>
          <w:rFonts w:ascii="Calibri" w:hAnsi="Calibri"/>
          <w:sz w:val="24"/>
        </w:rPr>
        <w:t xml:space="preserve"> gap.</w:t>
      </w:r>
      <w:r w:rsidR="009D7F0A">
        <w:rPr>
          <w:rStyle w:val="FootnoteReference"/>
          <w:rFonts w:ascii="Calibri" w:hAnsi="Calibri"/>
          <w:sz w:val="24"/>
        </w:rPr>
        <w:footnoteReference w:id="4"/>
      </w:r>
      <w:r w:rsidRPr="009D7F0A">
        <w:rPr>
          <w:rFonts w:ascii="Calibri" w:hAnsi="Calibri"/>
          <w:sz w:val="24"/>
        </w:rPr>
        <w:t xml:space="preserve"> The most obvious examples are those people who are in psychiatric </w:t>
      </w:r>
      <w:r w:rsidRPr="009D7F0A">
        <w:rPr>
          <w:rFonts w:ascii="Calibri" w:hAnsi="Calibri"/>
          <w:sz w:val="24"/>
        </w:rPr>
        <w:lastRenderedPageBreak/>
        <w:t>hospital informally because they are compliant, those in care homes where MHA detention powers cannot be applied, and those in psychiatri</w:t>
      </w:r>
      <w:r w:rsidR="009D7F0A">
        <w:rPr>
          <w:rFonts w:ascii="Calibri" w:hAnsi="Calibri"/>
          <w:sz w:val="24"/>
        </w:rPr>
        <w:t xml:space="preserve">c hospital who have a learning </w:t>
      </w:r>
      <w:r w:rsidRPr="009D7F0A">
        <w:rPr>
          <w:rFonts w:ascii="Calibri" w:hAnsi="Calibri"/>
          <w:sz w:val="24"/>
        </w:rPr>
        <w:t>disability which does not fit the statutory definitions of either mental impairment or severe mental impairment and who are thus excluded from detention under section 3 or other longer term sections of the MHA. What is required for all such people, if they are being deprived of their liberty, is an Article 5 compliant legal framework. This is what the Government proposes b</w:t>
      </w:r>
      <w:r w:rsidR="008F0F0B">
        <w:rPr>
          <w:rFonts w:ascii="Calibri" w:hAnsi="Calibri"/>
          <w:sz w:val="24"/>
        </w:rPr>
        <w:t>y way of amendments to the MCA.</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During the committee stage of the Mental Health Bill in the House of Lords the responsible minister stated that the purpose of the proposed amendments was not to increase the number of people deprived of their liberty, but rather that the legal position of those necessarily deprived of the</w:t>
      </w:r>
      <w:r w:rsidR="008F0F0B">
        <w:rPr>
          <w:rFonts w:ascii="Calibri" w:hAnsi="Calibri"/>
          <w:sz w:val="24"/>
        </w:rPr>
        <w:t>ir liberty will be regularised:</w:t>
      </w:r>
    </w:p>
    <w:p w:rsidR="003A01C1" w:rsidRPr="008F0F0B" w:rsidRDefault="003A01C1" w:rsidP="008F0F0B">
      <w:pPr>
        <w:suppressAutoHyphens/>
        <w:spacing w:after="120" w:line="240" w:lineRule="auto"/>
        <w:ind w:left="720"/>
        <w:rPr>
          <w:rFonts w:ascii="Calibri" w:hAnsi="Calibri"/>
          <w:i/>
          <w:sz w:val="24"/>
        </w:rPr>
      </w:pPr>
      <w:r w:rsidRPr="008F0F0B">
        <w:rPr>
          <w:rFonts w:ascii="Calibri" w:hAnsi="Calibri"/>
          <w:i/>
          <w:sz w:val="24"/>
        </w:rPr>
        <w:t>“This is not about taking new powers to detain people. It is about giving safeguards to the most vulnerable in care homes and hospitals who need to have their liberty curtailed and considered and who, in some cases, need to be deprived of aspects of their liberty in order to keep them safe and protected and to prov</w:t>
      </w:r>
      <w:r w:rsidR="008F0F0B" w:rsidRPr="008F0F0B">
        <w:rPr>
          <w:rFonts w:ascii="Calibri" w:hAnsi="Calibri"/>
          <w:i/>
          <w:sz w:val="24"/>
        </w:rPr>
        <w:t>ide the highest quality care.”</w:t>
      </w:r>
      <w:r w:rsidR="008F0F0B">
        <w:rPr>
          <w:rStyle w:val="FootnoteReference"/>
          <w:rFonts w:ascii="Calibri" w:hAnsi="Calibri"/>
          <w:i/>
          <w:sz w:val="24"/>
        </w:rPr>
        <w:footnoteReference w:id="5"/>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people the Government has in mind are cognitively impaired, whether this arises from a learning disability, brain injury or dementia, to a degree which renders them incapable of validly consenting </w:t>
      </w:r>
      <w:r w:rsidR="00843D66">
        <w:rPr>
          <w:rFonts w:ascii="Calibri" w:hAnsi="Calibri"/>
          <w:sz w:val="24"/>
        </w:rPr>
        <w:t>to the care they are receiving.</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As will be seen, the new legal regime for such mentally incapacitated people deprived of their liberty is based on different legal criteria for detention, compared with the MHA, and operates according to different procedures. It also provides different safeguards for those who are deprived of their liberty. An important question is whether having two separate regimes for depriving mentally disordered people of liberty will result in</w:t>
      </w:r>
      <w:r w:rsidR="00843D66">
        <w:rPr>
          <w:rFonts w:ascii="Calibri" w:hAnsi="Calibri"/>
          <w:sz w:val="24"/>
        </w:rPr>
        <w:t xml:space="preserve"> inconsistencies and anomalies.</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main justification for two separate regimes is that, compared with MHA detention, the proposed MCA procedures will be less demanding of resources. In its briefing sheet on the proposals the Government says it “has sought to minimise new burdens arising from the safeguards, b</w:t>
      </w:r>
      <w:r w:rsidR="00843D66">
        <w:rPr>
          <w:rFonts w:ascii="Calibri" w:hAnsi="Calibri"/>
          <w:sz w:val="24"/>
        </w:rPr>
        <w:t>ut some will inevitably arise”.</w:t>
      </w:r>
      <w:r w:rsidR="00843D66">
        <w:rPr>
          <w:rStyle w:val="FootnoteReference"/>
          <w:rFonts w:ascii="Calibri" w:hAnsi="Calibri"/>
          <w:sz w:val="24"/>
        </w:rPr>
        <w:footnoteReference w:id="6"/>
      </w:r>
      <w:r w:rsidRPr="009D7F0A">
        <w:rPr>
          <w:rFonts w:ascii="Calibri" w:hAnsi="Calibri"/>
          <w:sz w:val="24"/>
        </w:rPr>
        <w:t xml:space="preserve"> The extent of the additional demand for resources will be a function of the number of people who come within the MCA deprivation of liberty regime and the average resource burden per case. The former will in large part be dependent on what is meant by deprivation of liberty. In the same briefing sheet the Government says that it “does not consider that deprivation of liberty would be justified in large numbers of cases but recognises that such circumstances may arise”. Coincidentally with the passage of the Bill through the House of Lords, judgment was given in the High Court in a case where, relying on the </w:t>
      </w:r>
      <w:proofErr w:type="spellStart"/>
      <w:r w:rsidRPr="009D7F0A">
        <w:rPr>
          <w:rFonts w:ascii="Calibri" w:hAnsi="Calibri"/>
          <w:sz w:val="24"/>
        </w:rPr>
        <w:t>ECtHR’s</w:t>
      </w:r>
      <w:proofErr w:type="spellEnd"/>
      <w:r w:rsidRPr="009D7F0A">
        <w:rPr>
          <w:rFonts w:ascii="Calibri" w:hAnsi="Calibri"/>
          <w:sz w:val="24"/>
        </w:rPr>
        <w:t xml:space="preserve"> judgment in </w:t>
      </w:r>
      <w:r w:rsidRPr="005615FE">
        <w:rPr>
          <w:rFonts w:ascii="Calibri" w:hAnsi="Calibri"/>
          <w:i/>
          <w:sz w:val="24"/>
        </w:rPr>
        <w:t>HL v United Kingdom</w:t>
      </w:r>
      <w:r w:rsidRPr="009D7F0A">
        <w:rPr>
          <w:rFonts w:ascii="Calibri" w:hAnsi="Calibri"/>
          <w:sz w:val="24"/>
        </w:rPr>
        <w:t xml:space="preserve">, it was alleged that, in breach of Article 5, a mentally incapacitated care home resident (DE) was being deprived of his liberty while being cared for under the common law doctrine of </w:t>
      </w:r>
      <w:r w:rsidRPr="009D7F0A">
        <w:rPr>
          <w:rFonts w:ascii="Calibri" w:hAnsi="Calibri"/>
          <w:sz w:val="24"/>
        </w:rPr>
        <w:lastRenderedPageBreak/>
        <w:t>necessity.</w:t>
      </w:r>
      <w:r w:rsidR="00843D66">
        <w:rPr>
          <w:rStyle w:val="FootnoteReference"/>
          <w:rFonts w:ascii="Calibri" w:hAnsi="Calibri"/>
          <w:sz w:val="24"/>
        </w:rPr>
        <w:footnoteReference w:id="7"/>
      </w:r>
      <w:r w:rsidR="008E1991">
        <w:rPr>
          <w:rFonts w:ascii="Calibri" w:hAnsi="Calibri"/>
          <w:sz w:val="24"/>
        </w:rPr>
        <w:t xml:space="preserve"> As is discussed below,</w:t>
      </w:r>
      <w:r w:rsidR="008E1991">
        <w:rPr>
          <w:rStyle w:val="FootnoteReference"/>
          <w:rFonts w:ascii="Calibri" w:hAnsi="Calibri"/>
          <w:sz w:val="24"/>
        </w:rPr>
        <w:footnoteReference w:id="8"/>
      </w:r>
      <w:r w:rsidRPr="009D7F0A">
        <w:rPr>
          <w:rFonts w:ascii="Calibri" w:hAnsi="Calibri"/>
          <w:sz w:val="24"/>
        </w:rPr>
        <w:t xml:space="preserve"> the analysis of case law under the ECHR which led </w:t>
      </w:r>
      <w:proofErr w:type="spellStart"/>
      <w:r w:rsidRPr="009D7F0A">
        <w:rPr>
          <w:rFonts w:ascii="Calibri" w:hAnsi="Calibri"/>
          <w:sz w:val="24"/>
        </w:rPr>
        <w:t>Munby</w:t>
      </w:r>
      <w:proofErr w:type="spellEnd"/>
      <w:r w:rsidRPr="009D7F0A">
        <w:rPr>
          <w:rFonts w:ascii="Calibri" w:hAnsi="Calibri"/>
          <w:sz w:val="24"/>
        </w:rPr>
        <w:t xml:space="preserve"> J to conclude that the regime in the care home deprived DE of his liberty differs from the view expressed by the Government in the draft illustrative code of practice which accompanies the proposals.</w:t>
      </w:r>
      <w:r w:rsidR="008E1991">
        <w:rPr>
          <w:rStyle w:val="FootnoteReference"/>
          <w:rFonts w:ascii="Calibri" w:hAnsi="Calibri"/>
          <w:sz w:val="24"/>
        </w:rPr>
        <w:footnoteReference w:id="9"/>
      </w:r>
      <w:r w:rsidRPr="009D7F0A">
        <w:rPr>
          <w:rFonts w:ascii="Calibri" w:hAnsi="Calibri"/>
          <w:sz w:val="24"/>
        </w:rPr>
        <w:t xml:space="preserve"> If </w:t>
      </w:r>
      <w:proofErr w:type="spellStart"/>
      <w:r w:rsidRPr="009D7F0A">
        <w:rPr>
          <w:rFonts w:ascii="Calibri" w:hAnsi="Calibri"/>
          <w:sz w:val="24"/>
        </w:rPr>
        <w:t>Munby</w:t>
      </w:r>
      <w:proofErr w:type="spellEnd"/>
      <w:r w:rsidRPr="009D7F0A">
        <w:rPr>
          <w:rFonts w:ascii="Calibri" w:hAnsi="Calibri"/>
          <w:sz w:val="24"/>
        </w:rPr>
        <w:t xml:space="preserve"> J’s analysis is correct, it must follow that the Government has underestimated the number of mentally incapable people whose care amounts to deprivation of liberty, and the demand for additional resources w</w:t>
      </w:r>
      <w:r w:rsidR="00843D66">
        <w:rPr>
          <w:rFonts w:ascii="Calibri" w:hAnsi="Calibri"/>
          <w:sz w:val="24"/>
        </w:rPr>
        <w:t>ill be correspondingly greater.</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This article considers the Government’s legislative proposals against the domestic law background, specifically their relationship with existing detention powers in the MHA and the provisions already enacted by Parliament in the MCA which expressly do not authorise deprivation of liberty. Consideration is given to whether the proposed amendments to the MCA create undesirable overlap with the existing </w:t>
      </w:r>
      <w:r w:rsidR="008E1991">
        <w:rPr>
          <w:rFonts w:ascii="Calibri" w:hAnsi="Calibri"/>
          <w:sz w:val="24"/>
        </w:rPr>
        <w:t>detention powers under the MHA.</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final part of the article questions the Government’s approach to demarcating the boundary between the two detention regimes. It proposes that if MCA detention were confined to those who lack capacity and do not object to their care, compliance with Article 5 could be achieved more simply and at less cost than under the Government’s </w:t>
      </w:r>
      <w:r w:rsidR="008E1991">
        <w:rPr>
          <w:rFonts w:ascii="Calibri" w:hAnsi="Calibri"/>
          <w:sz w:val="24"/>
        </w:rPr>
        <w:t>proposed amendments to the MCA.</w:t>
      </w:r>
    </w:p>
    <w:p w:rsidR="003A01C1" w:rsidRPr="009D7F0A" w:rsidRDefault="003A01C1" w:rsidP="009D7F0A">
      <w:pPr>
        <w:suppressAutoHyphens/>
        <w:spacing w:after="120" w:line="240" w:lineRule="auto"/>
        <w:rPr>
          <w:rFonts w:ascii="Calibri" w:hAnsi="Calibri"/>
          <w:sz w:val="24"/>
        </w:rPr>
      </w:pPr>
    </w:p>
    <w:p w:rsidR="003A01C1" w:rsidRPr="008E1991" w:rsidRDefault="008E1991" w:rsidP="009D7F0A">
      <w:pPr>
        <w:suppressAutoHyphens/>
        <w:spacing w:after="120" w:line="240" w:lineRule="auto"/>
        <w:rPr>
          <w:rFonts w:ascii="Calibri" w:hAnsi="Calibri"/>
          <w:b/>
          <w:sz w:val="28"/>
        </w:rPr>
      </w:pPr>
      <w:r w:rsidRPr="008E1991">
        <w:rPr>
          <w:rFonts w:ascii="Calibri" w:hAnsi="Calibri"/>
          <w:b/>
          <w:sz w:val="28"/>
        </w:rPr>
        <w:t>Historical background</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If the proposed amendments to the MCA are a response to the </w:t>
      </w:r>
      <w:proofErr w:type="spellStart"/>
      <w:r w:rsidRPr="009D7F0A">
        <w:rPr>
          <w:rFonts w:ascii="Calibri" w:hAnsi="Calibri"/>
          <w:sz w:val="24"/>
        </w:rPr>
        <w:t>ECtHR’s</w:t>
      </w:r>
      <w:proofErr w:type="spellEnd"/>
      <w:r w:rsidRPr="009D7F0A">
        <w:rPr>
          <w:rFonts w:ascii="Calibri" w:hAnsi="Calibri"/>
          <w:sz w:val="24"/>
        </w:rPr>
        <w:t xml:space="preserve"> decision in the </w:t>
      </w:r>
      <w:proofErr w:type="spellStart"/>
      <w:r w:rsidRPr="009D7F0A">
        <w:rPr>
          <w:rFonts w:ascii="Calibri" w:hAnsi="Calibri"/>
          <w:sz w:val="24"/>
        </w:rPr>
        <w:t>Bournewood</w:t>
      </w:r>
      <w:proofErr w:type="spellEnd"/>
      <w:r w:rsidRPr="009D7F0A">
        <w:rPr>
          <w:rFonts w:ascii="Calibri" w:hAnsi="Calibri"/>
          <w:sz w:val="24"/>
        </w:rPr>
        <w:t xml:space="preserve"> case, the case itself arose from the application of legal principles which had been developed in the course of modernising English mental health law during the twentieth century. Those principles determined where the line was to be drawn between psychiatric patients whose hospital care warranted the use of legal powers of detention and patients for whom such powers were not considered necess</w:t>
      </w:r>
      <w:r w:rsidR="008E1991">
        <w:rPr>
          <w:rFonts w:ascii="Calibri" w:hAnsi="Calibri"/>
          <w:sz w:val="24"/>
        </w:rPr>
        <w:t>ary.</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first significant legislative step in this process was section 1 of the Mental Treatment Act 1930, which followed a recommendation made in 1926 by the Royal Commission on Lunacy and Mental Disorder.</w:t>
      </w:r>
      <w:r w:rsidR="008E1991">
        <w:rPr>
          <w:rStyle w:val="FootnoteReference"/>
          <w:rFonts w:ascii="Calibri" w:hAnsi="Calibri"/>
          <w:sz w:val="24"/>
        </w:rPr>
        <w:footnoteReference w:id="10"/>
      </w:r>
      <w:r w:rsidRPr="009D7F0A">
        <w:rPr>
          <w:rFonts w:ascii="Calibri" w:hAnsi="Calibri"/>
          <w:sz w:val="24"/>
        </w:rPr>
        <w:t xml:space="preserve"> It provided for voluntary admission by allowing a person who was capable of expressing his or her wishes to make a written application to be admitted to a psychiatric hospital. Having been admitted on that basis the patient was entitled to discharge him/hers</w:t>
      </w:r>
      <w:r w:rsidR="008E1991">
        <w:rPr>
          <w:rFonts w:ascii="Calibri" w:hAnsi="Calibri"/>
          <w:sz w:val="24"/>
        </w:rPr>
        <w:t>elf on giving 72 hours’ notice.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operation of this provision was considered by the Royal Commission on the Law relating to Mental Illness and Mental Deficiency (the Percy Commission) whose recommendations formed the basis for the Mental Health Act 1959.</w:t>
      </w:r>
      <w:r w:rsidR="008E1991">
        <w:rPr>
          <w:rStyle w:val="FootnoteReference"/>
          <w:rFonts w:ascii="Calibri" w:hAnsi="Calibri"/>
          <w:sz w:val="24"/>
        </w:rPr>
        <w:footnoteReference w:id="11"/>
      </w:r>
      <w:r w:rsidRPr="009D7F0A">
        <w:rPr>
          <w:rFonts w:ascii="Calibri" w:hAnsi="Calibri"/>
          <w:sz w:val="24"/>
        </w:rPr>
        <w:t xml:space="preserve"> Their main criticism was that the capability threshold for voluntary admission was too high with the consequence that powers of compulsion still had to be used in some cases where the patient wa</w:t>
      </w:r>
      <w:r w:rsidR="008E1991">
        <w:rPr>
          <w:rFonts w:ascii="Calibri" w:hAnsi="Calibri"/>
          <w:sz w:val="24"/>
        </w:rPr>
        <w:t>s not unwilling to be admitted:</w:t>
      </w:r>
    </w:p>
    <w:p w:rsidR="003A01C1" w:rsidRPr="000B7A2C" w:rsidRDefault="003A01C1" w:rsidP="000B7A2C">
      <w:pPr>
        <w:suppressAutoHyphens/>
        <w:spacing w:after="120" w:line="240" w:lineRule="auto"/>
        <w:ind w:left="720"/>
        <w:rPr>
          <w:rFonts w:ascii="Calibri" w:hAnsi="Calibri"/>
          <w:i/>
          <w:sz w:val="24"/>
        </w:rPr>
      </w:pPr>
      <w:r w:rsidRPr="000B7A2C">
        <w:rPr>
          <w:rFonts w:ascii="Calibri" w:hAnsi="Calibri"/>
          <w:i/>
          <w:sz w:val="24"/>
        </w:rPr>
        <w:lastRenderedPageBreak/>
        <w:t xml:space="preserve">“Because no one may be a voluntary patient unless he can give positive evidence of his willingness to be so, some patients who are not considered capable of giving a valid signature on the application form … may only be admitted under the [involuntary] certification procedures, even though they are not positively unwilling to be admitted and even if they could in fact be treated and cared for without powers of </w:t>
      </w:r>
      <w:r w:rsidR="000B7A2C" w:rsidRPr="000B7A2C">
        <w:rPr>
          <w:rFonts w:ascii="Calibri" w:hAnsi="Calibri"/>
          <w:i/>
          <w:sz w:val="24"/>
        </w:rPr>
        <w:t>detention.”</w:t>
      </w:r>
      <w:r w:rsidR="000B7A2C">
        <w:rPr>
          <w:rStyle w:val="FootnoteReference"/>
          <w:rFonts w:ascii="Calibri" w:hAnsi="Calibri"/>
          <w:i/>
          <w:sz w:val="24"/>
        </w:rPr>
        <w:footnoteReference w:id="12"/>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Percy Commission’s most important proposal for reform of mental health law was that there should in future be a presumption in favour of informal admission and treatment. This placed the onus on the psychiatric patient positively to opt out of informal care, by objecting to it, thus to opt into a regime of compulsion. They saw this as placing psychiatric treatment in the majority of cases on the same foundation as other forms of medical treatment and they hoped that it would reduce the stigma associated with</w:t>
      </w:r>
      <w:r w:rsidR="000B7A2C">
        <w:rPr>
          <w:rFonts w:ascii="Calibri" w:hAnsi="Calibri"/>
          <w:sz w:val="24"/>
        </w:rPr>
        <w:t xml:space="preserve"> treatment for mental disorder.</w:t>
      </w:r>
    </w:p>
    <w:p w:rsidR="003A01C1" w:rsidRPr="009D7F0A" w:rsidRDefault="003A01C1" w:rsidP="000B7A2C">
      <w:pPr>
        <w:suppressAutoHyphens/>
        <w:spacing w:after="120" w:line="240" w:lineRule="auto"/>
        <w:ind w:left="720"/>
        <w:rPr>
          <w:rFonts w:ascii="Calibri" w:hAnsi="Calibri"/>
          <w:sz w:val="24"/>
        </w:rPr>
      </w:pPr>
      <w:r w:rsidRPr="000B7A2C">
        <w:rPr>
          <w:rFonts w:ascii="Calibri" w:hAnsi="Calibri"/>
          <w:i/>
          <w:sz w:val="24"/>
        </w:rPr>
        <w:t>“We therefore recommend that the law and its administration should be altered, in relation to all forms of mental disorder, by abandoning the assumption that compulsory powers must be used unless the patient can express a positive desire for treatment, and replacing this by the offer of care, without deprivation of liberty, to all who need it and are</w:t>
      </w:r>
      <w:r w:rsidR="000B7A2C" w:rsidRPr="000B7A2C">
        <w:rPr>
          <w:rFonts w:ascii="Calibri" w:hAnsi="Calibri"/>
          <w:i/>
          <w:sz w:val="24"/>
        </w:rPr>
        <w:t xml:space="preserve"> not unwilling to receive it.</w:t>
      </w:r>
      <w:r w:rsidR="000B7A2C">
        <w:rPr>
          <w:rStyle w:val="FootnoteReference"/>
          <w:rFonts w:ascii="Calibri" w:hAnsi="Calibri"/>
          <w:sz w:val="24"/>
        </w:rPr>
        <w:footnoteReference w:id="13"/>
      </w:r>
    </w:p>
    <w:p w:rsidR="003A01C1" w:rsidRPr="009D7F0A" w:rsidRDefault="003A01C1" w:rsidP="000B7A2C">
      <w:pPr>
        <w:suppressAutoHyphens/>
        <w:spacing w:after="120" w:line="240" w:lineRule="auto"/>
        <w:ind w:left="720"/>
        <w:rPr>
          <w:rFonts w:ascii="Calibri" w:hAnsi="Calibri"/>
          <w:sz w:val="24"/>
        </w:rPr>
      </w:pPr>
      <w:r w:rsidRPr="000B7A2C">
        <w:rPr>
          <w:rFonts w:ascii="Calibri" w:hAnsi="Calibri"/>
          <w:i/>
          <w:sz w:val="24"/>
        </w:rPr>
        <w:t>We recommend that all admissions except under compulsory procedures should be arranged in the same was as admissions to general hospitals, with no application form to be signed by the patient and no statutory requirement for any fixed notice of any intention to leav</w:t>
      </w:r>
      <w:r w:rsidR="000B7A2C" w:rsidRPr="000B7A2C">
        <w:rPr>
          <w:rFonts w:ascii="Calibri" w:hAnsi="Calibri"/>
          <w:i/>
          <w:sz w:val="24"/>
        </w:rPr>
        <w:t>e.”</w:t>
      </w:r>
      <w:r w:rsidR="000B7A2C">
        <w:rPr>
          <w:rStyle w:val="FootnoteReference"/>
          <w:rFonts w:ascii="Calibri" w:hAnsi="Calibri"/>
          <w:sz w:val="24"/>
        </w:rPr>
        <w:footnoteReference w:id="14"/>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In referring to deprivation of liberty, the Percy Commission equated this with the use of coercion against the wishes of the patient; if he or she did not object, there was no deprivation of liberty and therefore no need to use legal powers of compu</w:t>
      </w:r>
      <w:r w:rsidR="000B7A2C">
        <w:rPr>
          <w:rFonts w:ascii="Calibri" w:hAnsi="Calibri"/>
          <w:sz w:val="24"/>
        </w:rPr>
        <w:t>lsion.</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As enshrined in practice under the Mental Health Act 1959, and later under the MHA, the crucial distinction was between the unwilling patient, in respect of whom admission could only be under compulsory powers of detention; and all other psychiatric patients, who were to be admitted and treated without the use of formal powers. In deciding whether to use compulsory powers, it was not necessary to consider the patient’s mental capacity. The sole question wa</w:t>
      </w:r>
      <w:r w:rsidR="000B7A2C">
        <w:rPr>
          <w:rFonts w:ascii="Calibri" w:hAnsi="Calibri"/>
          <w:sz w:val="24"/>
        </w:rPr>
        <w:t>s as to the patient’s volition.</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Even if the basis for the distinction was clear, its application was not always straightforward. It was sometimes difficult to know how much weight to give to what a mentally disordered person said or did if no clear purpose or intention, amounting to unwillingness, could readily be discerned. This is well illustrated by paragraph 19.27 of th</w:t>
      </w:r>
      <w:r w:rsidR="000B7A2C">
        <w:rPr>
          <w:rFonts w:ascii="Calibri" w:hAnsi="Calibri"/>
          <w:sz w:val="24"/>
        </w:rPr>
        <w:t>e current MHA Code of Practice:</w:t>
      </w:r>
    </w:p>
    <w:p w:rsidR="003A01C1" w:rsidRPr="009D7F0A" w:rsidRDefault="003A01C1" w:rsidP="000B7A2C">
      <w:pPr>
        <w:suppressAutoHyphens/>
        <w:spacing w:after="120" w:line="240" w:lineRule="auto"/>
        <w:ind w:left="720"/>
        <w:rPr>
          <w:rFonts w:ascii="Calibri" w:hAnsi="Calibri"/>
          <w:sz w:val="24"/>
        </w:rPr>
      </w:pPr>
      <w:r w:rsidRPr="000B7A2C">
        <w:rPr>
          <w:rFonts w:ascii="Calibri" w:hAnsi="Calibri"/>
          <w:i/>
          <w:sz w:val="24"/>
        </w:rPr>
        <w:t xml:space="preserve">“The safety of informal patients, who would be at risk of harm if they wandered out of a ward or mental nursing home at will, should be ensured by adequate staffing and good supervision. Combination locks and double handed doors should be used only in units where there is a regular and significant risk of patients wandering off </w:t>
      </w:r>
      <w:r w:rsidRPr="000B7A2C">
        <w:rPr>
          <w:rFonts w:ascii="Calibri" w:hAnsi="Calibri"/>
          <w:i/>
          <w:sz w:val="24"/>
        </w:rPr>
        <w:lastRenderedPageBreak/>
        <w:t xml:space="preserve">accidentally and being at risk of harm. There should be clear policies on the use of locks and other devices and a mechanism for reviewing decisions. Every patient should have an individual care plan which states explicitly why and when he or she will be prevented from leaving the ward. Patients who are not deliberately trying to leave the ward, but who may wander out accidentally, may legitimately be deterred from leaving the ward by those devices. In the case of a patient who persistently and/or purposely attempts to leave a ward or mental nursing home, whether or not they understand the risk involved, consideration must be given to assessing whether they would more appropriately be formally detained under the Act in a hospital or a mental nursing home registered to take detained patients, than </w:t>
      </w:r>
      <w:r w:rsidR="000B7A2C" w:rsidRPr="000B7A2C">
        <w:rPr>
          <w:rFonts w:ascii="Calibri" w:hAnsi="Calibri"/>
          <w:i/>
          <w:sz w:val="24"/>
        </w:rPr>
        <w:t>remain as informal patients.”</w:t>
      </w:r>
      <w:r w:rsidR="000B7A2C">
        <w:rPr>
          <w:rStyle w:val="FootnoteReference"/>
          <w:rFonts w:ascii="Calibri" w:hAnsi="Calibri"/>
          <w:sz w:val="24"/>
        </w:rPr>
        <w:footnoteReference w:id="15"/>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This contemplates that it is compatible with informal status for a patient to be prevented from leaving the ward, provided that their leaving the ward is not persistent and/or purposeful. Such patients, most of whom are elderly and suffering from dementia, are regarded as not unwi</w:t>
      </w:r>
      <w:r w:rsidR="000B7A2C">
        <w:rPr>
          <w:rFonts w:ascii="Calibri" w:hAnsi="Calibri"/>
          <w:sz w:val="24"/>
        </w:rPr>
        <w:t>lling to receive hospital care.</w:t>
      </w:r>
    </w:p>
    <w:p w:rsidR="003A01C1" w:rsidRPr="009D7F0A" w:rsidRDefault="003A01C1" w:rsidP="009D7F0A">
      <w:pPr>
        <w:suppressAutoHyphens/>
        <w:spacing w:after="120" w:line="240" w:lineRule="auto"/>
        <w:rPr>
          <w:rFonts w:ascii="Calibri" w:hAnsi="Calibri"/>
          <w:sz w:val="24"/>
        </w:rPr>
      </w:pPr>
    </w:p>
    <w:p w:rsidR="003A01C1" w:rsidRPr="000B7A2C" w:rsidRDefault="003A01C1" w:rsidP="009D7F0A">
      <w:pPr>
        <w:suppressAutoHyphens/>
        <w:spacing w:after="120" w:line="240" w:lineRule="auto"/>
        <w:rPr>
          <w:rFonts w:ascii="Calibri" w:hAnsi="Calibri"/>
          <w:b/>
          <w:sz w:val="28"/>
        </w:rPr>
      </w:pPr>
      <w:proofErr w:type="spellStart"/>
      <w:r w:rsidRPr="000B7A2C">
        <w:rPr>
          <w:rFonts w:ascii="Calibri" w:hAnsi="Calibri"/>
          <w:b/>
          <w:sz w:val="28"/>
        </w:rPr>
        <w:t>Bournewoo</w:t>
      </w:r>
      <w:r w:rsidR="000B7A2C" w:rsidRPr="000B7A2C">
        <w:rPr>
          <w:rFonts w:ascii="Calibri" w:hAnsi="Calibri"/>
          <w:b/>
          <w:sz w:val="28"/>
        </w:rPr>
        <w:t>d</w:t>
      </w:r>
      <w:proofErr w:type="spellEnd"/>
      <w:r w:rsidR="000B7A2C" w:rsidRPr="000B7A2C">
        <w:rPr>
          <w:rFonts w:ascii="Calibri" w:hAnsi="Calibri"/>
          <w:b/>
          <w:sz w:val="28"/>
        </w:rPr>
        <w:t xml:space="preserve"> and the doctrine of necessity</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HL, a profoundly autistic middle-aged man, was admitted to </w:t>
      </w:r>
      <w:proofErr w:type="spellStart"/>
      <w:r w:rsidRPr="009D7F0A">
        <w:rPr>
          <w:rFonts w:ascii="Calibri" w:hAnsi="Calibri"/>
          <w:sz w:val="24"/>
        </w:rPr>
        <w:t>Bournewood</w:t>
      </w:r>
      <w:proofErr w:type="spellEnd"/>
      <w:r w:rsidRPr="009D7F0A">
        <w:rPr>
          <w:rFonts w:ascii="Calibri" w:hAnsi="Calibri"/>
          <w:sz w:val="24"/>
        </w:rPr>
        <w:t xml:space="preserve"> hospital in July 1997. As he did not object or resist, the consultant psychiatrist in charge of his treatment saw no need to use MHA powers – </w:t>
      </w:r>
      <w:r w:rsidR="000B7A2C">
        <w:rPr>
          <w:rFonts w:ascii="Calibri" w:hAnsi="Calibri"/>
          <w:sz w:val="24"/>
        </w:rPr>
        <w:t>so she admitted him informally.</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consultant psychiatrist’s interpretation of the law was ultimately uph</w:t>
      </w:r>
      <w:r w:rsidR="000B7A2C">
        <w:rPr>
          <w:rFonts w:ascii="Calibri" w:hAnsi="Calibri"/>
          <w:sz w:val="24"/>
        </w:rPr>
        <w:t xml:space="preserve">eld by the House of Lords in a </w:t>
      </w:r>
      <w:r w:rsidRPr="009D7F0A">
        <w:rPr>
          <w:rFonts w:ascii="Calibri" w:hAnsi="Calibri"/>
          <w:sz w:val="24"/>
        </w:rPr>
        <w:t>unanimous</w:t>
      </w:r>
      <w:r w:rsidR="000B7A2C">
        <w:rPr>
          <w:rFonts w:ascii="Calibri" w:hAnsi="Calibri"/>
          <w:sz w:val="24"/>
        </w:rPr>
        <w:t xml:space="preserve"> decision the following summer.</w:t>
      </w:r>
      <w:r w:rsidR="000B7A2C">
        <w:rPr>
          <w:rStyle w:val="FootnoteReference"/>
          <w:rFonts w:ascii="Calibri" w:hAnsi="Calibri"/>
          <w:sz w:val="24"/>
        </w:rPr>
        <w:footnoteReference w:id="16"/>
      </w:r>
      <w:r w:rsidRPr="009D7F0A">
        <w:rPr>
          <w:rFonts w:ascii="Calibri" w:hAnsi="Calibri"/>
          <w:sz w:val="24"/>
        </w:rPr>
        <w:t xml:space="preserve"> While there had been some understandable vagueness in the Percy Commission’s report about the legal basis for admitting and treating a patient who did not express any wishes in the matter, all five Law Lords were clear that the correct legal description of HL was that he lacked capacity and that the necessary powers arose under the common law doctrine of necessity. Specifically, he lacked capacity to make the relevant treatment decisions arising from the consultant psychiatrist’s clinical opinion that he needed to be admitted to </w:t>
      </w:r>
      <w:proofErr w:type="spellStart"/>
      <w:r w:rsidRPr="009D7F0A">
        <w:rPr>
          <w:rFonts w:ascii="Calibri" w:hAnsi="Calibri"/>
          <w:sz w:val="24"/>
        </w:rPr>
        <w:t>Bournewood</w:t>
      </w:r>
      <w:proofErr w:type="spellEnd"/>
      <w:r w:rsidRPr="009D7F0A">
        <w:rPr>
          <w:rFonts w:ascii="Calibri" w:hAnsi="Calibri"/>
          <w:sz w:val="24"/>
        </w:rPr>
        <w:t xml:space="preserve"> hospital for assessment and treatment of a mental disorder. The doctrine of necessity conferred on those caring for him all necessary powers to act in what they considered to be his best interests. Since the common law provided for this situation there was no need, and therefore no legal justification, for using compulsory powers under the MHA. Such powers were to be used only where there was no other lawful means of ad</w:t>
      </w:r>
      <w:r w:rsidR="000B7A2C">
        <w:rPr>
          <w:rFonts w:ascii="Calibri" w:hAnsi="Calibri"/>
          <w:sz w:val="24"/>
        </w:rPr>
        <w:t>mitting and treating a patient.</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House of Lords’ decision arguably left the legal landscape unchanged. The Percy Commission’s presumption in favour of informal care for the ‘not unwilling’ had prevailed. The analysis in terms of capacity and incapacity appeared only to clarify the meaning of that phrase. Both the Mental Health Act Memorandum and Code of Practice were amended to make explicit that ‘not unwilling’ encompassed a patient who gives capable consent to </w:t>
      </w:r>
      <w:r w:rsidRPr="009D7F0A">
        <w:rPr>
          <w:rFonts w:ascii="Calibri" w:hAnsi="Calibri"/>
          <w:sz w:val="24"/>
        </w:rPr>
        <w:lastRenderedPageBreak/>
        <w:t>admission, and also a patient who is mentally incapable of consent but not ob</w:t>
      </w:r>
      <w:r w:rsidR="006D5D9E">
        <w:rPr>
          <w:rFonts w:ascii="Calibri" w:hAnsi="Calibri"/>
          <w:sz w:val="24"/>
        </w:rPr>
        <w:t>jecting to entering hospital.</w:t>
      </w:r>
      <w:r w:rsidR="006D5D9E">
        <w:rPr>
          <w:rStyle w:val="FootnoteReference"/>
          <w:rFonts w:ascii="Calibri" w:hAnsi="Calibri"/>
          <w:sz w:val="24"/>
        </w:rPr>
        <w:footnoteReference w:id="17"/>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Code and Memorandum now implied four categories of patient: with capacity and consenting; with capacity and not consenting; without capacity and not unwilling; and without capacity and objecting. In order to know in which category any particular patient belonged it was first necessary to assess their capacity to consent to admission and treatment, where previously it had been sufficient merely to ascertain whether or not they were objecting to admission. There is no reason, however, to believe that this new analysis made any difference to the practice of those assessing patients for admission under the MHA. The crucial distinction remained that between the objecting or unwilling patient (with or without capacity), whose lawful admission requires the use of MHA detaining powers, and everyone else for who</w:t>
      </w:r>
      <w:r w:rsidR="006D5D9E">
        <w:rPr>
          <w:rFonts w:ascii="Calibri" w:hAnsi="Calibri"/>
          <w:sz w:val="24"/>
        </w:rPr>
        <w:t>m informal admission is lawful.</w:t>
      </w:r>
    </w:p>
    <w:p w:rsidR="003A01C1" w:rsidRPr="009D7F0A" w:rsidRDefault="003A01C1" w:rsidP="009D7F0A">
      <w:pPr>
        <w:suppressAutoHyphens/>
        <w:spacing w:after="120" w:line="240" w:lineRule="auto"/>
        <w:rPr>
          <w:rFonts w:ascii="Calibri" w:hAnsi="Calibri"/>
          <w:sz w:val="24"/>
        </w:rPr>
      </w:pPr>
    </w:p>
    <w:p w:rsidR="003A01C1" w:rsidRPr="006D5D9E" w:rsidRDefault="003A01C1" w:rsidP="009D7F0A">
      <w:pPr>
        <w:suppressAutoHyphens/>
        <w:spacing w:after="120" w:line="240" w:lineRule="auto"/>
        <w:rPr>
          <w:rFonts w:ascii="Calibri" w:hAnsi="Calibri"/>
          <w:b/>
          <w:sz w:val="28"/>
        </w:rPr>
      </w:pPr>
      <w:proofErr w:type="spellStart"/>
      <w:r w:rsidRPr="006D5D9E">
        <w:rPr>
          <w:rFonts w:ascii="Calibri" w:hAnsi="Calibri"/>
          <w:b/>
          <w:sz w:val="28"/>
        </w:rPr>
        <w:t>Bourne</w:t>
      </w:r>
      <w:r w:rsidR="006D5D9E" w:rsidRPr="006D5D9E">
        <w:rPr>
          <w:rFonts w:ascii="Calibri" w:hAnsi="Calibri"/>
          <w:b/>
          <w:sz w:val="28"/>
        </w:rPr>
        <w:t>wood</w:t>
      </w:r>
      <w:proofErr w:type="spellEnd"/>
      <w:r w:rsidR="006D5D9E" w:rsidRPr="006D5D9E">
        <w:rPr>
          <w:rFonts w:ascii="Calibri" w:hAnsi="Calibri"/>
          <w:b/>
          <w:sz w:val="28"/>
        </w:rPr>
        <w:t xml:space="preserve"> and deprivation of liberty</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In the domestic courts there was a division of opinion among the judges as to whether, for the purpose of the habeas corpus proceedings, HL was detained while he was an informal patient in </w:t>
      </w:r>
      <w:proofErr w:type="spellStart"/>
      <w:r w:rsidRPr="009D7F0A">
        <w:rPr>
          <w:rFonts w:ascii="Calibri" w:hAnsi="Calibri"/>
          <w:sz w:val="24"/>
        </w:rPr>
        <w:t>Bournewood</w:t>
      </w:r>
      <w:proofErr w:type="spellEnd"/>
      <w:r w:rsidRPr="009D7F0A">
        <w:rPr>
          <w:rFonts w:ascii="Calibri" w:hAnsi="Calibri"/>
          <w:sz w:val="24"/>
        </w:rPr>
        <w:t xml:space="preserve"> hospital. All three Court of Appeal judges, together with two of the five Law Lords, concluded that he was detained. The remaining three Law Lords and the first instance j</w:t>
      </w:r>
      <w:r w:rsidR="006D5D9E">
        <w:rPr>
          <w:rFonts w:ascii="Calibri" w:hAnsi="Calibri"/>
          <w:sz w:val="24"/>
        </w:rPr>
        <w:t>udge were of the contrary view.</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Among the judges who found that HL was detained, the crucial point was that he was not free to leave </w:t>
      </w:r>
      <w:proofErr w:type="spellStart"/>
      <w:r w:rsidRPr="009D7F0A">
        <w:rPr>
          <w:rFonts w:ascii="Calibri" w:hAnsi="Calibri"/>
          <w:sz w:val="24"/>
        </w:rPr>
        <w:t>Bournewood</w:t>
      </w:r>
      <w:proofErr w:type="spellEnd"/>
      <w:r w:rsidRPr="009D7F0A">
        <w:rPr>
          <w:rFonts w:ascii="Calibri" w:hAnsi="Calibri"/>
          <w:sz w:val="24"/>
        </w:rPr>
        <w:t xml:space="preserve"> hospital. The Court</w:t>
      </w:r>
      <w:r w:rsidR="006D5D9E">
        <w:rPr>
          <w:rFonts w:ascii="Calibri" w:hAnsi="Calibri"/>
          <w:sz w:val="24"/>
        </w:rPr>
        <w:t xml:space="preserve"> of Appeal defined the test as:</w:t>
      </w:r>
    </w:p>
    <w:p w:rsidR="003A01C1" w:rsidRPr="009D7F0A" w:rsidRDefault="003A01C1" w:rsidP="006D5D9E">
      <w:pPr>
        <w:suppressAutoHyphens/>
        <w:spacing w:after="120" w:line="240" w:lineRule="auto"/>
        <w:ind w:left="720"/>
        <w:rPr>
          <w:rFonts w:ascii="Calibri" w:hAnsi="Calibri"/>
          <w:sz w:val="24"/>
        </w:rPr>
      </w:pPr>
      <w:r w:rsidRPr="006D5D9E">
        <w:rPr>
          <w:rFonts w:ascii="Calibri" w:hAnsi="Calibri"/>
          <w:i/>
          <w:sz w:val="24"/>
        </w:rPr>
        <w:t xml:space="preserve">“a person is detained in law if those who have control over the premises in which he is have the intention that he shall not be permitted to leave those premises and have the ability </w:t>
      </w:r>
      <w:r w:rsidR="006D5D9E" w:rsidRPr="006D5D9E">
        <w:rPr>
          <w:rFonts w:ascii="Calibri" w:hAnsi="Calibri"/>
          <w:i/>
          <w:sz w:val="24"/>
        </w:rPr>
        <w:t>to prevent him from leaving.”</w:t>
      </w:r>
      <w:r w:rsidR="006D5D9E">
        <w:rPr>
          <w:rStyle w:val="FootnoteReference"/>
          <w:rFonts w:ascii="Calibri" w:hAnsi="Calibri"/>
          <w:sz w:val="24"/>
        </w:rPr>
        <w:footnoteReference w:id="18"/>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In the House of Lords, Lord Nolan agreed with the Court of Appeal on the question whether HL was detained</w:t>
      </w:r>
      <w:r w:rsidR="006D5D9E">
        <w:rPr>
          <w:rFonts w:ascii="Calibri" w:hAnsi="Calibri"/>
          <w:sz w:val="24"/>
        </w:rPr>
        <w:t>, and he explained the context:</w:t>
      </w:r>
    </w:p>
    <w:p w:rsidR="003A01C1" w:rsidRPr="009D7F0A" w:rsidRDefault="003A01C1" w:rsidP="006D5D9E">
      <w:pPr>
        <w:suppressAutoHyphens/>
        <w:spacing w:after="120" w:line="240" w:lineRule="auto"/>
        <w:ind w:left="720"/>
        <w:rPr>
          <w:rFonts w:ascii="Calibri" w:hAnsi="Calibri"/>
          <w:sz w:val="24"/>
        </w:rPr>
      </w:pPr>
      <w:r w:rsidRPr="006D5D9E">
        <w:rPr>
          <w:rFonts w:ascii="Calibri" w:hAnsi="Calibri"/>
          <w:i/>
          <w:sz w:val="24"/>
        </w:rPr>
        <w:t>“[He] was closely monitored at all times so as to ensure that he came to no harm. It would have been wholly irresponsible for those monitoring him to let him leave the hospital until he h</w:t>
      </w:r>
      <w:r w:rsidR="006D5D9E" w:rsidRPr="006D5D9E">
        <w:rPr>
          <w:rFonts w:ascii="Calibri" w:hAnsi="Calibri"/>
          <w:i/>
          <w:sz w:val="24"/>
        </w:rPr>
        <w:t>ad been judged fit to do so.”</w:t>
      </w:r>
      <w:r w:rsidR="006D5D9E">
        <w:rPr>
          <w:rStyle w:val="FootnoteReference"/>
          <w:rFonts w:ascii="Calibri" w:hAnsi="Calibri"/>
          <w:sz w:val="24"/>
        </w:rPr>
        <w:footnoteReference w:id="19"/>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Lord </w:t>
      </w:r>
      <w:proofErr w:type="spellStart"/>
      <w:r w:rsidRPr="009D7F0A">
        <w:rPr>
          <w:rFonts w:ascii="Calibri" w:hAnsi="Calibri"/>
          <w:sz w:val="24"/>
        </w:rPr>
        <w:t>Steyn</w:t>
      </w:r>
      <w:proofErr w:type="spellEnd"/>
      <w:r w:rsidRPr="009D7F0A">
        <w:rPr>
          <w:rFonts w:ascii="Calibri" w:hAnsi="Calibri"/>
          <w:sz w:val="24"/>
        </w:rPr>
        <w:t xml:space="preserve"> memorably described as a ‘fairy tale’ the contention that H</w:t>
      </w:r>
      <w:r w:rsidR="006D5D9E">
        <w:rPr>
          <w:rFonts w:ascii="Calibri" w:hAnsi="Calibri"/>
          <w:sz w:val="24"/>
        </w:rPr>
        <w:t xml:space="preserve">L was free to leave </w:t>
      </w:r>
      <w:proofErr w:type="spellStart"/>
      <w:r w:rsidR="006D5D9E">
        <w:rPr>
          <w:rFonts w:ascii="Calibri" w:hAnsi="Calibri"/>
          <w:sz w:val="24"/>
        </w:rPr>
        <w:t>Bournewood</w:t>
      </w:r>
      <w:proofErr w:type="spellEnd"/>
      <w:r w:rsidR="006D5D9E">
        <w:rPr>
          <w:rFonts w:ascii="Calibri" w:hAnsi="Calibri"/>
          <w:sz w:val="24"/>
        </w:rPr>
        <w:t>:</w:t>
      </w:r>
    </w:p>
    <w:p w:rsidR="003A01C1" w:rsidRPr="009D7F0A" w:rsidRDefault="003A01C1" w:rsidP="006D5D9E">
      <w:pPr>
        <w:suppressAutoHyphens/>
        <w:spacing w:after="120" w:line="240" w:lineRule="auto"/>
        <w:ind w:left="720"/>
        <w:rPr>
          <w:rFonts w:ascii="Calibri" w:hAnsi="Calibri"/>
          <w:sz w:val="24"/>
        </w:rPr>
      </w:pPr>
      <w:r w:rsidRPr="006D5D9E">
        <w:rPr>
          <w:rFonts w:ascii="Calibri" w:hAnsi="Calibri"/>
          <w:i/>
          <w:sz w:val="24"/>
        </w:rPr>
        <w:t>“In my view [HL] was detained because the health care professionals intentionally assumed control over him to such a degree as to amount to a complete</w:t>
      </w:r>
      <w:r w:rsidR="006D5D9E" w:rsidRPr="006D5D9E">
        <w:rPr>
          <w:rFonts w:ascii="Calibri" w:hAnsi="Calibri"/>
          <w:i/>
          <w:sz w:val="24"/>
        </w:rPr>
        <w:t xml:space="preserve"> deprivation of his liberty.”</w:t>
      </w:r>
      <w:r w:rsidR="006D5D9E">
        <w:rPr>
          <w:rStyle w:val="FootnoteReference"/>
          <w:rFonts w:ascii="Calibri" w:hAnsi="Calibri"/>
          <w:sz w:val="24"/>
        </w:rPr>
        <w:footnoteReference w:id="20"/>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lastRenderedPageBreak/>
        <w:t xml:space="preserve">The question whether or not HL was deprived of his liberty was ultimately not determinative, as both Lord Nolan and Lord </w:t>
      </w:r>
      <w:proofErr w:type="spellStart"/>
      <w:r w:rsidRPr="009D7F0A">
        <w:rPr>
          <w:rFonts w:ascii="Calibri" w:hAnsi="Calibri"/>
          <w:sz w:val="24"/>
        </w:rPr>
        <w:t>Steyn</w:t>
      </w:r>
      <w:proofErr w:type="spellEnd"/>
      <w:r w:rsidRPr="009D7F0A">
        <w:rPr>
          <w:rFonts w:ascii="Calibri" w:hAnsi="Calibri"/>
          <w:sz w:val="24"/>
        </w:rPr>
        <w:t xml:space="preserve"> found, with their three colleagues, that those responsible for admitting and treating him had acted lawfully u</w:t>
      </w:r>
      <w:r w:rsidR="006D5D9E">
        <w:rPr>
          <w:rFonts w:ascii="Calibri" w:hAnsi="Calibri"/>
          <w:sz w:val="24"/>
        </w:rPr>
        <w:t>nder the doctrine of necessity.</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When the case reached the </w:t>
      </w:r>
      <w:proofErr w:type="spellStart"/>
      <w:r w:rsidRPr="009D7F0A">
        <w:rPr>
          <w:rFonts w:ascii="Calibri" w:hAnsi="Calibri"/>
          <w:sz w:val="24"/>
        </w:rPr>
        <w:t>ECtHR</w:t>
      </w:r>
      <w:proofErr w:type="spellEnd"/>
      <w:r w:rsidRPr="009D7F0A">
        <w:rPr>
          <w:rFonts w:ascii="Calibri" w:hAnsi="Calibri"/>
          <w:sz w:val="24"/>
        </w:rPr>
        <w:t xml:space="preserve"> the questions were: first, whether in terms of Article 5 HL was deprived of his liberty; and second, if so, whether the doctrine of necessity provided the necessary Article 5 safeguards against arbitrary detention. In the judgment which it gave in 2004 the Court concluded, essentially on the same basis as Lord </w:t>
      </w:r>
      <w:proofErr w:type="spellStart"/>
      <w:r w:rsidRPr="009D7F0A">
        <w:rPr>
          <w:rFonts w:ascii="Calibri" w:hAnsi="Calibri"/>
          <w:sz w:val="24"/>
        </w:rPr>
        <w:t>Steyn</w:t>
      </w:r>
      <w:proofErr w:type="spellEnd"/>
      <w:r w:rsidRPr="009D7F0A">
        <w:rPr>
          <w:rFonts w:ascii="Calibri" w:hAnsi="Calibri"/>
          <w:sz w:val="24"/>
        </w:rPr>
        <w:t xml:space="preserve">, that </w:t>
      </w:r>
      <w:r w:rsidR="006D5D9E">
        <w:rPr>
          <w:rFonts w:ascii="Calibri" w:hAnsi="Calibri"/>
          <w:sz w:val="24"/>
        </w:rPr>
        <w:t>HL was deprived of his liberty:</w:t>
      </w:r>
    </w:p>
    <w:p w:rsidR="006D5D9E" w:rsidRPr="0051233C" w:rsidRDefault="003A01C1" w:rsidP="0051233C">
      <w:pPr>
        <w:suppressAutoHyphens/>
        <w:spacing w:after="120" w:line="240" w:lineRule="auto"/>
        <w:ind w:left="720"/>
        <w:rPr>
          <w:rFonts w:ascii="Calibri" w:hAnsi="Calibri"/>
          <w:i/>
          <w:sz w:val="24"/>
        </w:rPr>
      </w:pPr>
      <w:r w:rsidRPr="0051233C">
        <w:rPr>
          <w:rFonts w:ascii="Calibri" w:hAnsi="Calibri"/>
          <w:i/>
          <w:sz w:val="24"/>
        </w:rPr>
        <w:t xml:space="preserve">“The Court considers the key factor in the present case to be that the health care professionals treating and managing </w:t>
      </w:r>
      <w:r w:rsidR="00C60A7D">
        <w:rPr>
          <w:rFonts w:ascii="Calibri" w:hAnsi="Calibri"/>
          <w:i/>
          <w:sz w:val="24"/>
        </w:rPr>
        <w:t>t</w:t>
      </w:r>
      <w:r w:rsidRPr="0051233C">
        <w:rPr>
          <w:rFonts w:ascii="Calibri" w:hAnsi="Calibri"/>
          <w:i/>
          <w:sz w:val="24"/>
        </w:rPr>
        <w:t>he applicant exercised complete and effective contro</w:t>
      </w:r>
      <w:r w:rsidR="00C60A7D">
        <w:rPr>
          <w:rFonts w:ascii="Calibri" w:hAnsi="Calibri"/>
          <w:i/>
          <w:sz w:val="24"/>
        </w:rPr>
        <w:t>l over his care and movements …</w:t>
      </w:r>
    </w:p>
    <w:p w:rsidR="003A01C1" w:rsidRPr="0051233C" w:rsidRDefault="003A01C1" w:rsidP="0051233C">
      <w:pPr>
        <w:suppressAutoHyphens/>
        <w:spacing w:after="120" w:line="240" w:lineRule="auto"/>
        <w:ind w:left="720"/>
        <w:rPr>
          <w:rFonts w:ascii="Calibri" w:hAnsi="Calibri"/>
          <w:i/>
          <w:sz w:val="24"/>
        </w:rPr>
      </w:pPr>
      <w:r w:rsidRPr="0051233C">
        <w:rPr>
          <w:rFonts w:ascii="Calibri" w:hAnsi="Calibri"/>
          <w:i/>
          <w:sz w:val="24"/>
        </w:rPr>
        <w:t>More particularly, … his responsible medical officer (Dr M) was clear that, had the applicant resisted admission or tried to leave thereafter, she would ha</w:t>
      </w:r>
      <w:r w:rsidR="00C60A7D">
        <w:rPr>
          <w:rFonts w:ascii="Calibri" w:hAnsi="Calibri"/>
          <w:i/>
          <w:sz w:val="24"/>
        </w:rPr>
        <w:t>ve prevented him from doing so.</w:t>
      </w:r>
    </w:p>
    <w:p w:rsidR="003A01C1" w:rsidRPr="009D7F0A" w:rsidRDefault="003A01C1" w:rsidP="0051233C">
      <w:pPr>
        <w:suppressAutoHyphens/>
        <w:spacing w:after="120" w:line="240" w:lineRule="auto"/>
        <w:ind w:left="720"/>
        <w:rPr>
          <w:rFonts w:ascii="Calibri" w:hAnsi="Calibri"/>
          <w:sz w:val="24"/>
        </w:rPr>
      </w:pPr>
      <w:r w:rsidRPr="0051233C">
        <w:rPr>
          <w:rFonts w:ascii="Calibri" w:hAnsi="Calibri"/>
          <w:i/>
          <w:sz w:val="24"/>
        </w:rPr>
        <w:t>Accordingly, the concrete situation was that the applicant was under continuous supervision and contro</w:t>
      </w:r>
      <w:r w:rsidR="006D5D9E" w:rsidRPr="0051233C">
        <w:rPr>
          <w:rFonts w:ascii="Calibri" w:hAnsi="Calibri"/>
          <w:i/>
          <w:sz w:val="24"/>
        </w:rPr>
        <w:t>l and was not free to leave.”</w:t>
      </w:r>
      <w:r w:rsidR="006D5D9E">
        <w:rPr>
          <w:rStyle w:val="FootnoteReference"/>
          <w:rFonts w:ascii="Calibri" w:hAnsi="Calibri"/>
          <w:sz w:val="24"/>
        </w:rPr>
        <w:footnoteReference w:id="21"/>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On the second question, whether the deprivation of liberty was “in accordance with a procedure prescribed by law” as required by Article 5(1), the Court found that it was not. The basis for this conclusion was not so much that the doctrine of necessity was imprecise and uncertain but rather that “the further element of lawfulness, the aim of avoiding arbitrariness, has not been satisfied”. The Court found that the application of the doctrine of necessity in HL’s case lacked su</w:t>
      </w:r>
      <w:r w:rsidR="0051233C">
        <w:rPr>
          <w:rFonts w:ascii="Calibri" w:hAnsi="Calibri"/>
          <w:sz w:val="24"/>
        </w:rPr>
        <w:t>fficient procedural safeguards:</w:t>
      </w:r>
    </w:p>
    <w:p w:rsidR="003A01C1" w:rsidRPr="009D7F0A" w:rsidRDefault="003A01C1" w:rsidP="0051233C">
      <w:pPr>
        <w:suppressAutoHyphens/>
        <w:spacing w:after="120" w:line="240" w:lineRule="auto"/>
        <w:ind w:left="720"/>
        <w:rPr>
          <w:rFonts w:ascii="Calibri" w:hAnsi="Calibri"/>
          <w:sz w:val="24"/>
        </w:rPr>
      </w:pPr>
      <w:r w:rsidRPr="0051233C">
        <w:rPr>
          <w:rFonts w:ascii="Calibri" w:hAnsi="Calibri"/>
          <w:i/>
          <w:sz w:val="24"/>
        </w:rPr>
        <w:t>“In particular and most obviously, the Court notes the lack of any formalised admission procedures which indicate who can propose admission, for what reasons and on the basis of what kind of medical and other assessments and conclusions. There is no requirement to fix the exact purpose of admission (for example, for assessment or for treatment) and, consistently, no limits in terms of time, treatment or care attach to that admission. Nor is there any specific provision requiring a continuing clinical assessment of the persistence of a disorder warranting detention. The nomination of the representative of a patient who could make certain objections and applications on his or her behalf is a procedural protection accorded to those committed involuntarily under the 1983 [Mental Health] Act and which would be of equal importance for patients who are legally incapacitated and have, as in the present case, extremely limi</w:t>
      </w:r>
      <w:r w:rsidR="0051233C" w:rsidRPr="0051233C">
        <w:rPr>
          <w:rFonts w:ascii="Calibri" w:hAnsi="Calibri"/>
          <w:i/>
          <w:sz w:val="24"/>
        </w:rPr>
        <w:t>ted communication abilities.”</w:t>
      </w:r>
      <w:r w:rsidR="0051233C">
        <w:rPr>
          <w:rStyle w:val="FootnoteReference"/>
          <w:rFonts w:ascii="Calibri" w:hAnsi="Calibri"/>
          <w:sz w:val="24"/>
        </w:rPr>
        <w:footnoteReference w:id="22"/>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Before discussing the Government’s legislative response, the judgment’s immediate implications for practice under the MHA should be noted, particularly given that by 2004 the Human Rights Act 1998 (HRA) was in force. If we return to the example of the patient who is prone to wander and who, for his or her own safety, is to be prevented from leaving the ward, we can see that the guidance in paragraph 19.27 of the Code fails to direct the reader to the crucial question which is whether the patient is being deprived of liberty. If the </w:t>
      </w:r>
      <w:r w:rsidRPr="009D7F0A">
        <w:rPr>
          <w:rFonts w:ascii="Calibri" w:hAnsi="Calibri"/>
          <w:sz w:val="24"/>
        </w:rPr>
        <w:lastRenderedPageBreak/>
        <w:t xml:space="preserve">answer is in the affirmative, the HRA directs that, if possible, the deprivation of liberty be made compatible with the Article 5 “in accordance with a procedure prescribed by law” requirement. Moreover, given the Court’s finding that HL was deprived of his liberty, though he neither wandered nor objected, the question whether the admission of a not unwilling patient amounts to a deprivation of liberty now has to be asked in every case. The effect of the </w:t>
      </w:r>
      <w:proofErr w:type="spellStart"/>
      <w:r w:rsidRPr="009D7F0A">
        <w:rPr>
          <w:rFonts w:ascii="Calibri" w:hAnsi="Calibri"/>
          <w:sz w:val="24"/>
        </w:rPr>
        <w:t>ECtHR’s</w:t>
      </w:r>
      <w:proofErr w:type="spellEnd"/>
      <w:r w:rsidRPr="009D7F0A">
        <w:rPr>
          <w:rFonts w:ascii="Calibri" w:hAnsi="Calibri"/>
          <w:sz w:val="24"/>
        </w:rPr>
        <w:t xml:space="preserve"> judgment should have been to change practice in this respect. One might have expected as a consequence that MHA powers would have been used in some types of case where in the past admission and treatment would have been under common law, but this appears not to have happened. The best explanation for this is that practitioners have not been clear about what amounts to a deprivation of liberty where the patient is not objec</w:t>
      </w:r>
      <w:r w:rsidR="0051233C">
        <w:rPr>
          <w:rFonts w:ascii="Calibri" w:hAnsi="Calibri"/>
          <w:sz w:val="24"/>
        </w:rPr>
        <w:t>ting to or resisting admission.</w:t>
      </w:r>
    </w:p>
    <w:p w:rsidR="003A01C1" w:rsidRPr="009D7F0A" w:rsidRDefault="003A01C1" w:rsidP="009D7F0A">
      <w:pPr>
        <w:suppressAutoHyphens/>
        <w:spacing w:after="120" w:line="240" w:lineRule="auto"/>
        <w:rPr>
          <w:rFonts w:ascii="Calibri" w:hAnsi="Calibri"/>
          <w:sz w:val="24"/>
        </w:rPr>
      </w:pPr>
    </w:p>
    <w:p w:rsidR="003A01C1" w:rsidRPr="0051233C" w:rsidRDefault="003A01C1" w:rsidP="009D7F0A">
      <w:pPr>
        <w:suppressAutoHyphens/>
        <w:spacing w:after="120" w:line="240" w:lineRule="auto"/>
        <w:rPr>
          <w:rFonts w:ascii="Calibri" w:hAnsi="Calibri"/>
          <w:b/>
          <w:sz w:val="28"/>
        </w:rPr>
      </w:pPr>
      <w:r w:rsidRPr="0051233C">
        <w:rPr>
          <w:rFonts w:ascii="Calibri" w:hAnsi="Calibri"/>
          <w:b/>
          <w:sz w:val="28"/>
        </w:rPr>
        <w:t xml:space="preserve">Proposed amendments </w:t>
      </w:r>
      <w:r w:rsidR="0051233C" w:rsidRPr="0051233C">
        <w:rPr>
          <w:rFonts w:ascii="Calibri" w:hAnsi="Calibri"/>
          <w:b/>
          <w:sz w:val="28"/>
        </w:rPr>
        <w:t>to the Mental Capacity Act 2005</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Government’s considered response to the </w:t>
      </w:r>
      <w:proofErr w:type="spellStart"/>
      <w:r w:rsidRPr="009D7F0A">
        <w:rPr>
          <w:rFonts w:ascii="Calibri" w:hAnsi="Calibri"/>
          <w:sz w:val="24"/>
        </w:rPr>
        <w:t>ECtHR’s</w:t>
      </w:r>
      <w:proofErr w:type="spellEnd"/>
      <w:r w:rsidRPr="009D7F0A">
        <w:rPr>
          <w:rFonts w:ascii="Calibri" w:hAnsi="Calibri"/>
          <w:sz w:val="24"/>
        </w:rPr>
        <w:t xml:space="preserve"> judgment is to amend the MCA so as to create a new regime for deprivation of liberty to sit alongside existing MHA detention powers. The proposed new MCA deprivation of liberty regime both sets legal criteria and creates a new statutory procedure for depriving a mentally incapacitated person of liberty. The criteria are to be found </w:t>
      </w:r>
      <w:r w:rsidR="0051233C">
        <w:rPr>
          <w:rFonts w:ascii="Calibri" w:hAnsi="Calibri"/>
          <w:sz w:val="24"/>
        </w:rPr>
        <w:t>in six qualifying requirements:</w:t>
      </w:r>
    </w:p>
    <w:p w:rsidR="003A01C1" w:rsidRPr="00EC5DD6" w:rsidRDefault="003A01C1" w:rsidP="00EC5DD6">
      <w:pPr>
        <w:pStyle w:val="ListParagraph"/>
        <w:numPr>
          <w:ilvl w:val="0"/>
          <w:numId w:val="2"/>
        </w:numPr>
        <w:suppressAutoHyphens/>
        <w:spacing w:after="120" w:line="240" w:lineRule="auto"/>
        <w:contextualSpacing w:val="0"/>
        <w:rPr>
          <w:rFonts w:ascii="Calibri" w:hAnsi="Calibri"/>
          <w:sz w:val="24"/>
        </w:rPr>
      </w:pPr>
      <w:r w:rsidRPr="00C71561">
        <w:rPr>
          <w:rFonts w:ascii="Calibri" w:hAnsi="Calibri"/>
          <w:i/>
          <w:sz w:val="24"/>
        </w:rPr>
        <w:t>The age requirement:</w:t>
      </w:r>
      <w:r w:rsidR="00C71561">
        <w:rPr>
          <w:rFonts w:ascii="Calibri" w:hAnsi="Calibri"/>
          <w:sz w:val="24"/>
        </w:rPr>
        <w:t xml:space="preserve"> P has reached the age of 18.</w:t>
      </w:r>
    </w:p>
    <w:p w:rsidR="003A01C1" w:rsidRPr="00EC5DD6" w:rsidRDefault="003A01C1" w:rsidP="00EC5DD6">
      <w:pPr>
        <w:pStyle w:val="ListParagraph"/>
        <w:numPr>
          <w:ilvl w:val="0"/>
          <w:numId w:val="2"/>
        </w:numPr>
        <w:suppressAutoHyphens/>
        <w:spacing w:after="120" w:line="240" w:lineRule="auto"/>
        <w:contextualSpacing w:val="0"/>
        <w:rPr>
          <w:rFonts w:ascii="Calibri" w:hAnsi="Calibri"/>
          <w:sz w:val="24"/>
        </w:rPr>
      </w:pPr>
      <w:r w:rsidRPr="00C71561">
        <w:rPr>
          <w:rFonts w:ascii="Calibri" w:hAnsi="Calibri"/>
          <w:i/>
          <w:sz w:val="24"/>
        </w:rPr>
        <w:t>The mental health requirement:</w:t>
      </w:r>
      <w:r w:rsidRPr="00EC5DD6">
        <w:rPr>
          <w:rFonts w:ascii="Calibri" w:hAnsi="Calibri"/>
          <w:sz w:val="24"/>
        </w:rPr>
        <w:t xml:space="preserve"> P is “suffering from mental disorder (within the meaning of the Mental Health Act, but disregarding any exclusion for person</w:t>
      </w:r>
      <w:r w:rsidR="00EC5DD6" w:rsidRPr="00EC5DD6">
        <w:rPr>
          <w:rFonts w:ascii="Calibri" w:hAnsi="Calibri"/>
          <w:sz w:val="24"/>
        </w:rPr>
        <w:t>s with learning disability).”</w:t>
      </w:r>
      <w:r w:rsidR="00EC5DD6">
        <w:rPr>
          <w:rStyle w:val="FootnoteReference"/>
          <w:rFonts w:ascii="Calibri" w:hAnsi="Calibri"/>
          <w:sz w:val="24"/>
        </w:rPr>
        <w:footnoteReference w:id="23"/>
      </w:r>
    </w:p>
    <w:p w:rsidR="003A01C1" w:rsidRPr="00EC5DD6" w:rsidRDefault="003A01C1" w:rsidP="00EC5DD6">
      <w:pPr>
        <w:pStyle w:val="ListParagraph"/>
        <w:numPr>
          <w:ilvl w:val="0"/>
          <w:numId w:val="2"/>
        </w:numPr>
        <w:suppressAutoHyphens/>
        <w:spacing w:after="120" w:line="240" w:lineRule="auto"/>
        <w:contextualSpacing w:val="0"/>
        <w:rPr>
          <w:rFonts w:ascii="Calibri" w:hAnsi="Calibri"/>
          <w:sz w:val="24"/>
        </w:rPr>
      </w:pPr>
      <w:r w:rsidRPr="00C71561">
        <w:rPr>
          <w:rFonts w:ascii="Calibri" w:hAnsi="Calibri"/>
          <w:i/>
          <w:sz w:val="24"/>
        </w:rPr>
        <w:t>The mental capacity requirement:</w:t>
      </w:r>
      <w:r w:rsidRPr="00EC5DD6">
        <w:rPr>
          <w:rFonts w:ascii="Calibri" w:hAnsi="Calibri"/>
          <w:sz w:val="24"/>
        </w:rPr>
        <w:t xml:space="preserve"> P “lacks capacity in relation to the question whether or not he should be accommodated in the relevant hospital or care home [i.e. that in which he is to be/is being deprived of his liberty] for the purpose of being given t</w:t>
      </w:r>
      <w:r w:rsidR="00C71561">
        <w:rPr>
          <w:rFonts w:ascii="Calibri" w:hAnsi="Calibri"/>
          <w:sz w:val="24"/>
        </w:rPr>
        <w:t>he relevant care or treatment.”</w:t>
      </w:r>
    </w:p>
    <w:p w:rsidR="00EC5DD6" w:rsidRDefault="003A01C1" w:rsidP="00EC5DD6">
      <w:pPr>
        <w:pStyle w:val="ListParagraph"/>
        <w:numPr>
          <w:ilvl w:val="0"/>
          <w:numId w:val="2"/>
        </w:numPr>
        <w:suppressAutoHyphens/>
        <w:spacing w:after="120" w:line="240" w:lineRule="auto"/>
        <w:contextualSpacing w:val="0"/>
        <w:rPr>
          <w:rFonts w:ascii="Calibri" w:hAnsi="Calibri"/>
          <w:sz w:val="24"/>
        </w:rPr>
      </w:pPr>
      <w:r w:rsidRPr="00C71561">
        <w:rPr>
          <w:rFonts w:ascii="Calibri" w:hAnsi="Calibri"/>
          <w:i/>
          <w:sz w:val="24"/>
        </w:rPr>
        <w:t>The best interests requirement:</w:t>
      </w:r>
      <w:r w:rsidRPr="00EC5DD6">
        <w:rPr>
          <w:rFonts w:ascii="Calibri" w:hAnsi="Calibri"/>
          <w:sz w:val="24"/>
        </w:rPr>
        <w:t xml:space="preserve"> P satisfies four condi</w:t>
      </w:r>
      <w:r w:rsidR="00EC5DD6">
        <w:rPr>
          <w:rFonts w:ascii="Calibri" w:hAnsi="Calibri"/>
          <w:sz w:val="24"/>
        </w:rPr>
        <w:t>tions:</w:t>
      </w:r>
    </w:p>
    <w:p w:rsidR="00EC5DD6" w:rsidRDefault="003A01C1" w:rsidP="00EC5DD6">
      <w:pPr>
        <w:pStyle w:val="ListParagraph"/>
        <w:numPr>
          <w:ilvl w:val="0"/>
          <w:numId w:val="3"/>
        </w:numPr>
        <w:suppressAutoHyphens/>
        <w:spacing w:after="120" w:line="240" w:lineRule="auto"/>
        <w:contextualSpacing w:val="0"/>
        <w:rPr>
          <w:rFonts w:ascii="Calibri" w:hAnsi="Calibri"/>
          <w:sz w:val="24"/>
        </w:rPr>
      </w:pPr>
      <w:r w:rsidRPr="00EC5DD6">
        <w:rPr>
          <w:rFonts w:ascii="Calibri" w:hAnsi="Calibri"/>
          <w:sz w:val="24"/>
        </w:rPr>
        <w:t>That he is, or is to be, a d</w:t>
      </w:r>
      <w:r w:rsidR="00EC5DD6">
        <w:rPr>
          <w:rFonts w:ascii="Calibri" w:hAnsi="Calibri"/>
          <w:sz w:val="24"/>
        </w:rPr>
        <w:t>etained resident.</w:t>
      </w:r>
    </w:p>
    <w:p w:rsidR="00EC5DD6" w:rsidRDefault="003A01C1" w:rsidP="00EC5DD6">
      <w:pPr>
        <w:pStyle w:val="ListParagraph"/>
        <w:numPr>
          <w:ilvl w:val="0"/>
          <w:numId w:val="3"/>
        </w:numPr>
        <w:suppressAutoHyphens/>
        <w:spacing w:after="120" w:line="240" w:lineRule="auto"/>
        <w:contextualSpacing w:val="0"/>
        <w:rPr>
          <w:rFonts w:ascii="Calibri" w:hAnsi="Calibri"/>
          <w:sz w:val="24"/>
        </w:rPr>
      </w:pPr>
      <w:r w:rsidRPr="00EC5DD6">
        <w:rPr>
          <w:rFonts w:ascii="Calibri" w:hAnsi="Calibri"/>
          <w:sz w:val="24"/>
        </w:rPr>
        <w:t xml:space="preserve">That it is in P’s best interests for him </w:t>
      </w:r>
      <w:r w:rsidR="00EC5DD6">
        <w:rPr>
          <w:rFonts w:ascii="Calibri" w:hAnsi="Calibri"/>
          <w:sz w:val="24"/>
        </w:rPr>
        <w:t>to be a detained resident.</w:t>
      </w:r>
    </w:p>
    <w:p w:rsidR="00EC5DD6" w:rsidRDefault="003A01C1" w:rsidP="00EC5DD6">
      <w:pPr>
        <w:pStyle w:val="ListParagraph"/>
        <w:numPr>
          <w:ilvl w:val="0"/>
          <w:numId w:val="3"/>
        </w:numPr>
        <w:suppressAutoHyphens/>
        <w:spacing w:after="120" w:line="240" w:lineRule="auto"/>
        <w:contextualSpacing w:val="0"/>
        <w:rPr>
          <w:rFonts w:ascii="Calibri" w:hAnsi="Calibri"/>
          <w:sz w:val="24"/>
        </w:rPr>
      </w:pPr>
      <w:r w:rsidRPr="00EC5DD6">
        <w:rPr>
          <w:rFonts w:ascii="Calibri" w:hAnsi="Calibri"/>
          <w:sz w:val="24"/>
        </w:rPr>
        <w:t>That, in order to prevent harm to P, it is necessary for him</w:t>
      </w:r>
      <w:r w:rsidR="00EC5DD6">
        <w:rPr>
          <w:rFonts w:ascii="Calibri" w:hAnsi="Calibri"/>
          <w:sz w:val="24"/>
        </w:rPr>
        <w:t xml:space="preserve"> to be a detained resident.</w:t>
      </w:r>
    </w:p>
    <w:p w:rsidR="003A01C1" w:rsidRPr="00EC5DD6" w:rsidRDefault="003A01C1" w:rsidP="00EC5DD6">
      <w:pPr>
        <w:pStyle w:val="ListParagraph"/>
        <w:numPr>
          <w:ilvl w:val="0"/>
          <w:numId w:val="3"/>
        </w:numPr>
        <w:suppressAutoHyphens/>
        <w:spacing w:after="120" w:line="240" w:lineRule="auto"/>
        <w:contextualSpacing w:val="0"/>
        <w:rPr>
          <w:rFonts w:ascii="Calibri" w:hAnsi="Calibri"/>
          <w:sz w:val="24"/>
        </w:rPr>
      </w:pPr>
      <w:r w:rsidRPr="00EC5DD6">
        <w:rPr>
          <w:rFonts w:ascii="Calibri" w:hAnsi="Calibri"/>
          <w:sz w:val="24"/>
        </w:rPr>
        <w:t>That it is a proportionate resp</w:t>
      </w:r>
      <w:r w:rsidR="00EC5DD6">
        <w:rPr>
          <w:rFonts w:ascii="Calibri" w:hAnsi="Calibri"/>
          <w:sz w:val="24"/>
        </w:rPr>
        <w:t>onse to—</w:t>
      </w:r>
    </w:p>
    <w:p w:rsidR="003A01C1" w:rsidRPr="00EC5DD6" w:rsidRDefault="003A01C1" w:rsidP="00EC5DD6">
      <w:pPr>
        <w:pStyle w:val="ListParagraph"/>
        <w:numPr>
          <w:ilvl w:val="0"/>
          <w:numId w:val="4"/>
        </w:numPr>
        <w:suppressAutoHyphens/>
        <w:spacing w:after="120" w:line="240" w:lineRule="auto"/>
        <w:contextualSpacing w:val="0"/>
        <w:rPr>
          <w:rFonts w:ascii="Calibri" w:hAnsi="Calibri"/>
          <w:sz w:val="24"/>
        </w:rPr>
      </w:pPr>
      <w:r w:rsidRPr="00EC5DD6">
        <w:rPr>
          <w:rFonts w:ascii="Calibri" w:hAnsi="Calibri"/>
          <w:sz w:val="24"/>
        </w:rPr>
        <w:t>the like</w:t>
      </w:r>
      <w:r w:rsidR="00C71561">
        <w:rPr>
          <w:rFonts w:ascii="Calibri" w:hAnsi="Calibri"/>
          <w:sz w:val="24"/>
        </w:rPr>
        <w:t>lihood of P suffering harm, and</w:t>
      </w:r>
    </w:p>
    <w:p w:rsidR="003A01C1" w:rsidRPr="00EC5DD6" w:rsidRDefault="00EC5DD6" w:rsidP="00EC5DD6">
      <w:pPr>
        <w:pStyle w:val="ListParagraph"/>
        <w:numPr>
          <w:ilvl w:val="0"/>
          <w:numId w:val="4"/>
        </w:numPr>
        <w:suppressAutoHyphens/>
        <w:spacing w:after="120" w:line="240" w:lineRule="auto"/>
        <w:contextualSpacing w:val="0"/>
        <w:rPr>
          <w:rFonts w:ascii="Calibri" w:hAnsi="Calibri"/>
          <w:sz w:val="24"/>
        </w:rPr>
      </w:pPr>
      <w:r>
        <w:rPr>
          <w:rFonts w:ascii="Calibri" w:hAnsi="Calibri"/>
          <w:sz w:val="24"/>
        </w:rPr>
        <w:t>the seriousness of that harm,</w:t>
      </w:r>
    </w:p>
    <w:p w:rsidR="003A01C1" w:rsidRPr="00EC5DD6" w:rsidRDefault="003A01C1" w:rsidP="00EC5DD6">
      <w:pPr>
        <w:pStyle w:val="ListParagraph"/>
        <w:suppressAutoHyphens/>
        <w:spacing w:after="120" w:line="240" w:lineRule="auto"/>
        <w:ind w:left="1440"/>
        <w:contextualSpacing w:val="0"/>
        <w:rPr>
          <w:rFonts w:ascii="Calibri" w:hAnsi="Calibri"/>
          <w:sz w:val="24"/>
        </w:rPr>
      </w:pPr>
      <w:r w:rsidRPr="00EC5DD6">
        <w:rPr>
          <w:rFonts w:ascii="Calibri" w:hAnsi="Calibri"/>
          <w:sz w:val="24"/>
        </w:rPr>
        <w:t>for</w:t>
      </w:r>
      <w:r w:rsidR="00EC5DD6">
        <w:rPr>
          <w:rFonts w:ascii="Calibri" w:hAnsi="Calibri"/>
          <w:sz w:val="24"/>
        </w:rPr>
        <w:t xml:space="preserve"> him to be a detained resident.</w:t>
      </w:r>
    </w:p>
    <w:p w:rsidR="003A01C1" w:rsidRPr="00EC5DD6" w:rsidRDefault="003A01C1" w:rsidP="00EC5DD6">
      <w:pPr>
        <w:pStyle w:val="ListParagraph"/>
        <w:numPr>
          <w:ilvl w:val="0"/>
          <w:numId w:val="2"/>
        </w:numPr>
        <w:suppressAutoHyphens/>
        <w:spacing w:after="120" w:line="240" w:lineRule="auto"/>
        <w:contextualSpacing w:val="0"/>
        <w:rPr>
          <w:rFonts w:ascii="Calibri" w:hAnsi="Calibri"/>
          <w:sz w:val="24"/>
        </w:rPr>
      </w:pPr>
      <w:r w:rsidRPr="00C71561">
        <w:rPr>
          <w:rFonts w:ascii="Calibri" w:hAnsi="Calibri"/>
          <w:i/>
          <w:sz w:val="24"/>
        </w:rPr>
        <w:lastRenderedPageBreak/>
        <w:t>The eligibility requirement:</w:t>
      </w:r>
      <w:r w:rsidRPr="00EC5DD6">
        <w:rPr>
          <w:rFonts w:ascii="Calibri" w:hAnsi="Calibri"/>
          <w:sz w:val="24"/>
        </w:rPr>
        <w:t xml:space="preserve"> P is not ineligible to be deprived of his liberty under the MCA. Ineligibility would arise if he were detained or detain</w:t>
      </w:r>
      <w:r w:rsidR="00EC5DD6">
        <w:rPr>
          <w:rFonts w:ascii="Calibri" w:hAnsi="Calibri"/>
          <w:sz w:val="24"/>
        </w:rPr>
        <w:t>able under the MHA (see below).</w:t>
      </w:r>
    </w:p>
    <w:p w:rsidR="003A01C1" w:rsidRPr="00EC5DD6" w:rsidRDefault="003A01C1" w:rsidP="00EC5DD6">
      <w:pPr>
        <w:pStyle w:val="ListParagraph"/>
        <w:numPr>
          <w:ilvl w:val="0"/>
          <w:numId w:val="2"/>
        </w:numPr>
        <w:suppressAutoHyphens/>
        <w:spacing w:after="120" w:line="240" w:lineRule="auto"/>
        <w:contextualSpacing w:val="0"/>
        <w:rPr>
          <w:rFonts w:ascii="Calibri" w:hAnsi="Calibri"/>
          <w:sz w:val="24"/>
        </w:rPr>
      </w:pPr>
      <w:r w:rsidRPr="00C71561">
        <w:rPr>
          <w:rFonts w:ascii="Calibri" w:hAnsi="Calibri"/>
          <w:i/>
          <w:sz w:val="24"/>
        </w:rPr>
        <w:t>The no refusals requirement:</w:t>
      </w:r>
      <w:r w:rsidRPr="00EC5DD6">
        <w:rPr>
          <w:rFonts w:ascii="Calibri" w:hAnsi="Calibri"/>
          <w:sz w:val="24"/>
        </w:rPr>
        <w:t xml:space="preserve"> P has not made a valid advance decision and there is not some other valid decision, of a </w:t>
      </w:r>
      <w:proofErr w:type="spellStart"/>
      <w:r w:rsidRPr="00EC5DD6">
        <w:rPr>
          <w:rFonts w:ascii="Calibri" w:hAnsi="Calibri"/>
          <w:sz w:val="24"/>
        </w:rPr>
        <w:t>donee</w:t>
      </w:r>
      <w:proofErr w:type="spellEnd"/>
      <w:r w:rsidRPr="00EC5DD6">
        <w:rPr>
          <w:rFonts w:ascii="Calibri" w:hAnsi="Calibri"/>
          <w:sz w:val="24"/>
        </w:rPr>
        <w:t xml:space="preserve"> of a lasting power of attorney or a deputy appointed by the Court of Protection, which conflic</w:t>
      </w:r>
      <w:r w:rsidR="00EC5DD6" w:rsidRPr="00EC5DD6">
        <w:rPr>
          <w:rFonts w:ascii="Calibri" w:hAnsi="Calibri"/>
          <w:sz w:val="24"/>
        </w:rPr>
        <w:t>ts with the decision made by D.</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These requirements add to the </w:t>
      </w:r>
      <w:r w:rsidRPr="00C71561">
        <w:rPr>
          <w:rFonts w:ascii="Calibri" w:hAnsi="Calibri"/>
          <w:i/>
          <w:sz w:val="24"/>
        </w:rPr>
        <w:t>substantive safeguards</w:t>
      </w:r>
      <w:r w:rsidRPr="009D7F0A">
        <w:rPr>
          <w:rFonts w:ascii="Calibri" w:hAnsi="Calibri"/>
          <w:sz w:val="24"/>
        </w:rPr>
        <w:t xml:space="preserve"> that are already to be found in the MCA. First, the definition of mental disorder is not in the MCA, which instead relies on the concept of mental incapacity alone. The mental disorder requirement is needed to comply with </w:t>
      </w:r>
      <w:proofErr w:type="spellStart"/>
      <w:r w:rsidRPr="009D7F0A">
        <w:rPr>
          <w:rFonts w:ascii="Calibri" w:hAnsi="Calibri"/>
          <w:sz w:val="24"/>
        </w:rPr>
        <w:t>ECtHR</w:t>
      </w:r>
      <w:proofErr w:type="spellEnd"/>
      <w:r w:rsidRPr="009D7F0A">
        <w:rPr>
          <w:rFonts w:ascii="Calibri" w:hAnsi="Calibri"/>
          <w:sz w:val="24"/>
        </w:rPr>
        <w:t xml:space="preserve"> case law which says that a deprivation of liberty by reason of unsoundness of mind must be based on medica</w:t>
      </w:r>
      <w:r w:rsidR="00A11EBE">
        <w:rPr>
          <w:rFonts w:ascii="Calibri" w:hAnsi="Calibri"/>
          <w:sz w:val="24"/>
        </w:rPr>
        <w:t>l evidence of mental disorder.</w:t>
      </w:r>
      <w:r w:rsidR="00A11EBE">
        <w:rPr>
          <w:rStyle w:val="FootnoteReference"/>
          <w:rFonts w:ascii="Calibri" w:hAnsi="Calibri"/>
          <w:sz w:val="24"/>
        </w:rPr>
        <w:footnoteReference w:id="24"/>
      </w:r>
      <w:r w:rsidRPr="009D7F0A">
        <w:rPr>
          <w:rFonts w:ascii="Calibri" w:hAnsi="Calibri"/>
          <w:sz w:val="24"/>
        </w:rPr>
        <w:t xml:space="preserve"> Second, the mental capacity requirement is helpful in directing D to the issue in relation to which P’s capacity has to be determined, but it does not add anything of substance to the capacity test in the </w:t>
      </w:r>
      <w:proofErr w:type="spellStart"/>
      <w:r w:rsidRPr="009D7F0A">
        <w:rPr>
          <w:rFonts w:ascii="Calibri" w:hAnsi="Calibri"/>
          <w:sz w:val="24"/>
        </w:rPr>
        <w:t>unamended</w:t>
      </w:r>
      <w:proofErr w:type="spellEnd"/>
      <w:r w:rsidRPr="009D7F0A">
        <w:rPr>
          <w:rFonts w:ascii="Calibri" w:hAnsi="Calibri"/>
          <w:sz w:val="24"/>
        </w:rPr>
        <w:t xml:space="preserve"> MCA. Third, the best interests requirement, when taken together with section 4 of the MCA, appears to have much the same effect as section 6 of the MCA in relation to restrictions on liberty. However, unlike section 6 it refers not to what D reasonably believes but to P’s best interests as an objective state of fact, which is established by</w:t>
      </w:r>
      <w:r w:rsidR="00A11EBE">
        <w:rPr>
          <w:rFonts w:ascii="Calibri" w:hAnsi="Calibri"/>
          <w:sz w:val="24"/>
        </w:rPr>
        <w:t xml:space="preserve"> the best interests assessment.</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In responding to the </w:t>
      </w:r>
      <w:proofErr w:type="spellStart"/>
      <w:r w:rsidRPr="009D7F0A">
        <w:rPr>
          <w:rFonts w:ascii="Calibri" w:hAnsi="Calibri"/>
          <w:sz w:val="24"/>
        </w:rPr>
        <w:t>Bournewood</w:t>
      </w:r>
      <w:proofErr w:type="spellEnd"/>
      <w:r w:rsidRPr="009D7F0A">
        <w:rPr>
          <w:rFonts w:ascii="Calibri" w:hAnsi="Calibri"/>
          <w:sz w:val="24"/>
        </w:rPr>
        <w:t xml:space="preserve"> judgment, the Government has emphasised the need for </w:t>
      </w:r>
      <w:r w:rsidRPr="004A7C1A">
        <w:rPr>
          <w:rFonts w:ascii="Calibri" w:hAnsi="Calibri"/>
          <w:i/>
          <w:sz w:val="24"/>
        </w:rPr>
        <w:t>procedural safeguards</w:t>
      </w:r>
      <w:r w:rsidRPr="009D7F0A">
        <w:rPr>
          <w:rFonts w:ascii="Calibri" w:hAnsi="Calibri"/>
          <w:sz w:val="24"/>
        </w:rPr>
        <w:t xml:space="preserve"> and it has expressly sought to cover each of the points of criticism made by the </w:t>
      </w:r>
      <w:proofErr w:type="spellStart"/>
      <w:r w:rsidRPr="009D7F0A">
        <w:rPr>
          <w:rFonts w:ascii="Calibri" w:hAnsi="Calibri"/>
          <w:sz w:val="24"/>
        </w:rPr>
        <w:t>ECtHR</w:t>
      </w:r>
      <w:proofErr w:type="spellEnd"/>
      <w:r w:rsidRPr="009D7F0A">
        <w:rPr>
          <w:rFonts w:ascii="Calibri" w:hAnsi="Calibri"/>
          <w:sz w:val="24"/>
        </w:rPr>
        <w:t>. The proposed safegu</w:t>
      </w:r>
      <w:r w:rsidR="00A11EBE">
        <w:rPr>
          <w:rFonts w:ascii="Calibri" w:hAnsi="Calibri"/>
          <w:sz w:val="24"/>
        </w:rPr>
        <w:t>ards have a number of elements.</w:t>
      </w:r>
    </w:p>
    <w:p w:rsidR="003A01C1" w:rsidRPr="00A11EBE" w:rsidRDefault="003A01C1" w:rsidP="00A11EBE">
      <w:pPr>
        <w:pStyle w:val="ListParagraph"/>
        <w:numPr>
          <w:ilvl w:val="0"/>
          <w:numId w:val="6"/>
        </w:numPr>
        <w:suppressAutoHyphens/>
        <w:spacing w:after="120" w:line="240" w:lineRule="auto"/>
        <w:rPr>
          <w:rFonts w:ascii="Calibri" w:hAnsi="Calibri"/>
          <w:sz w:val="24"/>
        </w:rPr>
      </w:pPr>
      <w:r w:rsidRPr="00A11EBE">
        <w:rPr>
          <w:rFonts w:ascii="Calibri" w:hAnsi="Calibri"/>
          <w:sz w:val="24"/>
        </w:rPr>
        <w:t>The requirement, except in cases of urgent necessity, to obtain an authorisation for a deprivation of liberty from th</w:t>
      </w:r>
      <w:r w:rsidR="00A11EBE" w:rsidRPr="00A11EBE">
        <w:rPr>
          <w:rFonts w:ascii="Calibri" w:hAnsi="Calibri"/>
          <w:sz w:val="24"/>
        </w:rPr>
        <w:t>e appropriate supervisory body.</w:t>
      </w:r>
    </w:p>
    <w:p w:rsidR="003A01C1" w:rsidRPr="00A11EBE" w:rsidRDefault="003A01C1" w:rsidP="00A11EBE">
      <w:pPr>
        <w:suppressAutoHyphens/>
        <w:spacing w:after="120" w:line="240" w:lineRule="auto"/>
        <w:rPr>
          <w:rFonts w:ascii="Calibri" w:hAnsi="Calibri"/>
          <w:sz w:val="24"/>
        </w:rPr>
      </w:pPr>
      <w:r w:rsidRPr="00A11EBE">
        <w:rPr>
          <w:rFonts w:ascii="Calibri" w:hAnsi="Calibri"/>
          <w:sz w:val="24"/>
        </w:rPr>
        <w:t>The duty to apply to the supervisory body for a standard authorisation is placed on the hospital or care home where it is proposed that P will reside or, in some cases, is already residing. As an interim measure an emergency authorisation, lasting no longer than seven days, can be given by the managing authority of the hospital or care home if there is an urgent need for P to be a detained resident and an application has been mad</w:t>
      </w:r>
      <w:r w:rsidR="00A11EBE" w:rsidRPr="00A11EBE">
        <w:rPr>
          <w:rFonts w:ascii="Calibri" w:hAnsi="Calibri"/>
          <w:sz w:val="24"/>
        </w:rPr>
        <w:t>e for a standard authorisation.</w:t>
      </w:r>
    </w:p>
    <w:p w:rsidR="003A01C1" w:rsidRPr="00A11EBE" w:rsidRDefault="003A01C1" w:rsidP="00A11EBE">
      <w:pPr>
        <w:suppressAutoHyphens/>
        <w:spacing w:after="120" w:line="240" w:lineRule="auto"/>
        <w:rPr>
          <w:rFonts w:ascii="Calibri" w:hAnsi="Calibri"/>
          <w:sz w:val="24"/>
        </w:rPr>
      </w:pPr>
      <w:r w:rsidRPr="00A11EBE">
        <w:rPr>
          <w:rFonts w:ascii="Calibri" w:hAnsi="Calibri"/>
          <w:sz w:val="24"/>
        </w:rPr>
        <w:t>A standard authorisation, with a maximum duration of twelve months, will only be granted if the assessments obtained by the supervisory body show that all six qualifying requirements are satisfied. The supervisory body is then bound to give the authorisation. The supervisory body, which for a hospital admission is the responsible PCT and for a residential care home is the local authority, selects the people to carry out the assessments. There must be at least two assessments, including one by a doctor which deals with the mental health requirement and one by someone other than a doctor which deals with the best interests requirement.</w:t>
      </w:r>
      <w:r w:rsidR="00A11EBE">
        <w:rPr>
          <w:rStyle w:val="FootnoteReference"/>
          <w:rFonts w:ascii="Calibri" w:hAnsi="Calibri"/>
          <w:sz w:val="24"/>
        </w:rPr>
        <w:footnoteReference w:id="25"/>
      </w:r>
      <w:r w:rsidRPr="00A11EBE">
        <w:rPr>
          <w:rFonts w:ascii="Calibri" w:hAnsi="Calibri"/>
          <w:sz w:val="24"/>
        </w:rPr>
        <w:t xml:space="preserve"> Regulations may make provision for the selection and eligibility of people to carry out assessments, covering their experience, qualifications and any connection they may have with the supervisory body or the </w:t>
      </w:r>
      <w:r w:rsidR="00A11EBE" w:rsidRPr="00A11EBE">
        <w:rPr>
          <w:rFonts w:ascii="Calibri" w:hAnsi="Calibri"/>
          <w:sz w:val="24"/>
        </w:rPr>
        <w:t>relevant hospital or care home.</w:t>
      </w:r>
    </w:p>
    <w:p w:rsidR="003A01C1" w:rsidRPr="00A11EBE" w:rsidRDefault="003A01C1" w:rsidP="00A11EBE">
      <w:pPr>
        <w:pStyle w:val="ListParagraph"/>
        <w:numPr>
          <w:ilvl w:val="0"/>
          <w:numId w:val="6"/>
        </w:numPr>
        <w:suppressAutoHyphens/>
        <w:spacing w:after="120" w:line="240" w:lineRule="auto"/>
        <w:rPr>
          <w:rFonts w:ascii="Calibri" w:hAnsi="Calibri"/>
          <w:sz w:val="24"/>
        </w:rPr>
      </w:pPr>
      <w:r w:rsidRPr="00A11EBE">
        <w:rPr>
          <w:rFonts w:ascii="Calibri" w:hAnsi="Calibri"/>
          <w:sz w:val="24"/>
        </w:rPr>
        <w:lastRenderedPageBreak/>
        <w:t>The requirement for the appointment of a representative for the person wh</w:t>
      </w:r>
      <w:r w:rsidR="00A11EBE" w:rsidRPr="00A11EBE">
        <w:rPr>
          <w:rFonts w:ascii="Calibri" w:hAnsi="Calibri"/>
          <w:sz w:val="24"/>
        </w:rPr>
        <w:t>o is being deprived of liberty.</w:t>
      </w:r>
    </w:p>
    <w:p w:rsidR="003A01C1" w:rsidRPr="00A91597" w:rsidRDefault="003A01C1" w:rsidP="00A91597">
      <w:pPr>
        <w:suppressAutoHyphens/>
        <w:spacing w:after="120" w:line="240" w:lineRule="auto"/>
        <w:rPr>
          <w:rFonts w:ascii="Calibri" w:hAnsi="Calibri"/>
          <w:sz w:val="24"/>
        </w:rPr>
      </w:pPr>
      <w:r w:rsidRPr="00A91597">
        <w:rPr>
          <w:rFonts w:ascii="Calibri" w:hAnsi="Calibri"/>
          <w:sz w:val="24"/>
        </w:rPr>
        <w:t>The duty to appoint a representative for the patient, “as soon as practicable after a standard authorisation is given”, is imposed on the supervisory body. Before appointing someone as representative for P it must appear to the supervisory body that the person would, if appointed, maintain contact with P; represent P in matters relating to the deprivation of liberty arising from P’s residence in the hospital or care home; and support P in relation to those matters. Regulations may provide for h</w:t>
      </w:r>
      <w:r w:rsidR="00A11EBE" w:rsidRPr="00A91597">
        <w:rPr>
          <w:rFonts w:ascii="Calibri" w:hAnsi="Calibri"/>
          <w:sz w:val="24"/>
        </w:rPr>
        <w:t xml:space="preserve">ow the representative is to be </w:t>
      </w:r>
      <w:r w:rsidRPr="00A91597">
        <w:rPr>
          <w:rFonts w:ascii="Calibri" w:hAnsi="Calibri"/>
          <w:sz w:val="24"/>
        </w:rPr>
        <w:t>selected and by whom, although the actual appointment is</w:t>
      </w:r>
      <w:r w:rsidR="00A11EBE" w:rsidRPr="00A91597">
        <w:rPr>
          <w:rFonts w:ascii="Calibri" w:hAnsi="Calibri"/>
          <w:sz w:val="24"/>
        </w:rPr>
        <w:t xml:space="preserve"> made by the supervisory body.</w:t>
      </w:r>
      <w:r w:rsidR="00A11EBE">
        <w:rPr>
          <w:rStyle w:val="FootnoteReference"/>
          <w:rFonts w:ascii="Calibri" w:hAnsi="Calibri"/>
          <w:sz w:val="24"/>
        </w:rPr>
        <w:footnoteReference w:id="26"/>
      </w:r>
      <w:r w:rsidRPr="00A91597">
        <w:rPr>
          <w:rFonts w:ascii="Calibri" w:hAnsi="Calibri"/>
          <w:sz w:val="24"/>
        </w:rPr>
        <w:t xml:space="preserve"> The draft code of practice identifies the best interests assessor as having a pivotal role in determining whether P or P’s attorney or deputy have selected someone who would be eligible to act as P’s representative; and, if not, to conside</w:t>
      </w:r>
      <w:r w:rsidR="00A11EBE" w:rsidRPr="00A91597">
        <w:rPr>
          <w:rFonts w:ascii="Calibri" w:hAnsi="Calibri"/>
          <w:sz w:val="24"/>
        </w:rPr>
        <w:t>r recommending such a person.</w:t>
      </w:r>
      <w:r w:rsidR="00A11EBE">
        <w:rPr>
          <w:rStyle w:val="FootnoteReference"/>
          <w:rFonts w:ascii="Calibri" w:hAnsi="Calibri"/>
          <w:sz w:val="24"/>
        </w:rPr>
        <w:footnoteReference w:id="27"/>
      </w:r>
    </w:p>
    <w:p w:rsidR="003A01C1" w:rsidRPr="00A11EBE" w:rsidRDefault="003A01C1" w:rsidP="00A11EBE">
      <w:pPr>
        <w:pStyle w:val="ListParagraph"/>
        <w:numPr>
          <w:ilvl w:val="0"/>
          <w:numId w:val="6"/>
        </w:numPr>
        <w:suppressAutoHyphens/>
        <w:spacing w:after="120" w:line="240" w:lineRule="auto"/>
        <w:rPr>
          <w:rFonts w:ascii="Calibri" w:hAnsi="Calibri"/>
          <w:sz w:val="24"/>
        </w:rPr>
      </w:pPr>
      <w:r w:rsidRPr="00A11EBE">
        <w:rPr>
          <w:rFonts w:ascii="Calibri" w:hAnsi="Calibri"/>
          <w:sz w:val="24"/>
        </w:rPr>
        <w:t>The requirement for periodic reviews to determine whether the grounds justifying deprivation of liberty still</w:t>
      </w:r>
      <w:r w:rsidR="00A11EBE" w:rsidRPr="00A11EBE">
        <w:rPr>
          <w:rFonts w:ascii="Calibri" w:hAnsi="Calibri"/>
          <w:sz w:val="24"/>
        </w:rPr>
        <w:t xml:space="preserve"> obtain.</w:t>
      </w:r>
    </w:p>
    <w:p w:rsidR="003A01C1" w:rsidRPr="00A91597" w:rsidRDefault="003A01C1" w:rsidP="00A91597">
      <w:pPr>
        <w:suppressAutoHyphens/>
        <w:spacing w:after="120" w:line="240" w:lineRule="auto"/>
        <w:rPr>
          <w:rFonts w:ascii="Calibri" w:hAnsi="Calibri"/>
          <w:sz w:val="24"/>
        </w:rPr>
      </w:pPr>
      <w:r w:rsidRPr="00A91597">
        <w:rPr>
          <w:rFonts w:ascii="Calibri" w:hAnsi="Calibri"/>
          <w:sz w:val="24"/>
        </w:rPr>
        <w:t>When the period authorised by the current standard authorisation is due to expire, the managing authority of the hospital or care home must seek a fresh authorisation from the supervisory body. The process is essentially the same as for a new standard authorisation. In addition, the supervisory body will be bound to review the authorisation if requested to do so, for example by the managing authority or by the patient’s representative. If the review shows that there have been relevant changes the supervisory body must obtain such further a</w:t>
      </w:r>
      <w:r w:rsidR="00A11EBE" w:rsidRPr="00A91597">
        <w:rPr>
          <w:rFonts w:ascii="Calibri" w:hAnsi="Calibri"/>
          <w:sz w:val="24"/>
        </w:rPr>
        <w:t>ssessments as may be necessary.</w:t>
      </w:r>
    </w:p>
    <w:p w:rsidR="003A01C1" w:rsidRPr="00A11EBE" w:rsidRDefault="003A01C1" w:rsidP="00A11EBE">
      <w:pPr>
        <w:pStyle w:val="ListParagraph"/>
        <w:numPr>
          <w:ilvl w:val="0"/>
          <w:numId w:val="6"/>
        </w:numPr>
        <w:suppressAutoHyphens/>
        <w:spacing w:after="120" w:line="240" w:lineRule="auto"/>
        <w:rPr>
          <w:rFonts w:ascii="Calibri" w:hAnsi="Calibri"/>
          <w:sz w:val="24"/>
        </w:rPr>
      </w:pPr>
      <w:r w:rsidRPr="00A11EBE">
        <w:rPr>
          <w:rFonts w:ascii="Calibri" w:hAnsi="Calibri"/>
          <w:sz w:val="24"/>
        </w:rPr>
        <w:t>The right, conferred on both the patient and the representative, to apply to the Court of Protection to challe</w:t>
      </w:r>
      <w:r w:rsidR="00A11EBE" w:rsidRPr="00A11EBE">
        <w:rPr>
          <w:rFonts w:ascii="Calibri" w:hAnsi="Calibri"/>
          <w:sz w:val="24"/>
        </w:rPr>
        <w:t>nge the deprivation of liberty.</w:t>
      </w:r>
    </w:p>
    <w:p w:rsidR="003A01C1" w:rsidRPr="00A91597" w:rsidRDefault="003A01C1" w:rsidP="00A91597">
      <w:pPr>
        <w:suppressAutoHyphens/>
        <w:spacing w:after="120" w:line="240" w:lineRule="auto"/>
        <w:rPr>
          <w:rFonts w:ascii="Calibri" w:hAnsi="Calibri"/>
          <w:sz w:val="24"/>
        </w:rPr>
      </w:pPr>
      <w:r w:rsidRPr="00A91597">
        <w:rPr>
          <w:rFonts w:ascii="Calibri" w:hAnsi="Calibri"/>
          <w:sz w:val="24"/>
        </w:rPr>
        <w:t>Both P and his or her representative have the right of application to challenge a standard authorisation. The detained person also has the right to apply to the Court to challenge an urgent authorisation. In determining any such application, the Court will have to decide whether P meets t</w:t>
      </w:r>
      <w:r w:rsidR="00A11EBE" w:rsidRPr="00A91597">
        <w:rPr>
          <w:rFonts w:ascii="Calibri" w:hAnsi="Calibri"/>
          <w:sz w:val="24"/>
        </w:rPr>
        <w:t>he six qualifying requirements.</w:t>
      </w:r>
    </w:p>
    <w:p w:rsidR="003A01C1" w:rsidRPr="009D7F0A" w:rsidRDefault="003A01C1" w:rsidP="009D7F0A">
      <w:pPr>
        <w:suppressAutoHyphens/>
        <w:spacing w:after="120" w:line="240" w:lineRule="auto"/>
        <w:rPr>
          <w:rFonts w:ascii="Calibri" w:hAnsi="Calibri"/>
          <w:sz w:val="24"/>
        </w:rPr>
      </w:pPr>
    </w:p>
    <w:p w:rsidR="003A01C1" w:rsidRPr="00A91597" w:rsidRDefault="00A91597" w:rsidP="009D7F0A">
      <w:pPr>
        <w:suppressAutoHyphens/>
        <w:spacing w:after="120" w:line="240" w:lineRule="auto"/>
        <w:rPr>
          <w:rFonts w:ascii="Calibri" w:hAnsi="Calibri"/>
          <w:b/>
          <w:sz w:val="28"/>
        </w:rPr>
      </w:pPr>
      <w:r w:rsidRPr="00A91597">
        <w:rPr>
          <w:rFonts w:ascii="Calibri" w:hAnsi="Calibri"/>
          <w:b/>
          <w:sz w:val="28"/>
        </w:rPr>
        <w:t>Defining deprivation of liberty</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substantive requirements and procedural safeguards apply only in cases where P is to be, or is already, deprived of liberty. The Bill contains an interpretation provision which falls short of a definition of deprivation of liberty: “In this Act, references to deprivation of a person’s liberty have the same meaning as in Article 5(1) of </w:t>
      </w:r>
      <w:r w:rsidR="00A91597">
        <w:rPr>
          <w:rFonts w:ascii="Calibri" w:hAnsi="Calibri"/>
          <w:sz w:val="24"/>
        </w:rPr>
        <w:t>the Human Rights Convention.”</w:t>
      </w:r>
      <w:r w:rsidR="00A91597">
        <w:rPr>
          <w:rStyle w:val="FootnoteReference"/>
          <w:rFonts w:ascii="Calibri" w:hAnsi="Calibri"/>
          <w:sz w:val="24"/>
        </w:rPr>
        <w:footnoteReference w:id="28"/>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draft illustrative code of practice makes clear that “a person may only be deprived of their liberty in their own best interests and when there is no less restrictive alternative.” The proposed safeguards exist for those cases “where deprivation of liberty is an unavoidable </w:t>
      </w:r>
      <w:r w:rsidRPr="009D7F0A">
        <w:rPr>
          <w:rFonts w:ascii="Calibri" w:hAnsi="Calibri"/>
          <w:sz w:val="24"/>
        </w:rPr>
        <w:lastRenderedPageBreak/>
        <w:t>necessity… Every effort should be made to prevent deprivation of liberty becoming unavoidable.”</w:t>
      </w:r>
      <w:r w:rsidR="00A91597">
        <w:rPr>
          <w:rStyle w:val="FootnoteReference"/>
          <w:rFonts w:ascii="Calibri" w:hAnsi="Calibri"/>
          <w:sz w:val="24"/>
        </w:rPr>
        <w:footnoteReference w:id="29"/>
      </w:r>
      <w:r w:rsidRPr="009D7F0A">
        <w:rPr>
          <w:rFonts w:ascii="Calibri" w:hAnsi="Calibri"/>
          <w:sz w:val="24"/>
        </w:rPr>
        <w:t xml:space="preserve"> It goes on to suggest how this is to be achieved. Those involved in the provision of residential accommodation should “to the greatest possible extent that safety considerations will allow, seek to operate care regimes that promote a person’s control over their daily living and maximise their autonomy …</w:t>
      </w:r>
      <w:r w:rsidR="00FC1C8A">
        <w:rPr>
          <w:rFonts w:ascii="Calibri" w:hAnsi="Calibri"/>
          <w:sz w:val="24"/>
        </w:rPr>
        <w:t xml:space="preserve"> </w:t>
      </w:r>
      <w:r w:rsidRPr="009D7F0A">
        <w:rPr>
          <w:rFonts w:ascii="Calibri" w:hAnsi="Calibri"/>
          <w:sz w:val="24"/>
        </w:rPr>
        <w:t>This will both reduce the likelihood of deprivation of liberty arising, and enhance their quality of life.”</w:t>
      </w:r>
      <w:r w:rsidR="00A91597">
        <w:rPr>
          <w:rStyle w:val="FootnoteReference"/>
          <w:rFonts w:ascii="Calibri" w:hAnsi="Calibri"/>
          <w:sz w:val="24"/>
        </w:rPr>
        <w:footnoteReference w:id="30"/>
      </w:r>
      <w:r w:rsidRPr="009D7F0A">
        <w:rPr>
          <w:rFonts w:ascii="Calibri" w:hAnsi="Calibri"/>
          <w:sz w:val="24"/>
        </w:rPr>
        <w:t xml:space="preserve"> There follows a section on best practice to avoid deprivation of liberty by ensuring that alternatives to admission to hospital or residential care are considered, that any restrictions placed on the person while in hospital or residential care are kept to the minimum necessary and that proper steps are taken to help the person retain contact wit</w:t>
      </w:r>
      <w:r w:rsidR="00A91597">
        <w:rPr>
          <w:rFonts w:ascii="Calibri" w:hAnsi="Calibri"/>
          <w:sz w:val="24"/>
        </w:rPr>
        <w:t>h family, friends and carers.</w:t>
      </w:r>
      <w:r w:rsidR="00A91597">
        <w:rPr>
          <w:rStyle w:val="FootnoteReference"/>
          <w:rFonts w:ascii="Calibri" w:hAnsi="Calibri"/>
          <w:sz w:val="24"/>
        </w:rPr>
        <w:footnoteReference w:id="31"/>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reason given in the draft illustrative code for not including a definition of deprivation of liberty in the Bill is that “it is not possible to state that a particular measure would or would not constitute a deprivation of liberty in ECHR terms in every case. It will be necessary to consider all the factors involved on an individual basis.” However, there are features which according to the draft code may be relevant in an individual case. One of those is that the person is prevented from leaving the hospital or care home and another is the choices they are fre</w:t>
      </w:r>
      <w:r w:rsidR="00A91597">
        <w:rPr>
          <w:rFonts w:ascii="Calibri" w:hAnsi="Calibri"/>
          <w:sz w:val="24"/>
        </w:rPr>
        <w:t>e to make while they are there:</w:t>
      </w:r>
    </w:p>
    <w:p w:rsidR="003A01C1" w:rsidRPr="00A91597" w:rsidRDefault="003A01C1" w:rsidP="00A91597">
      <w:pPr>
        <w:suppressAutoHyphens/>
        <w:spacing w:after="120" w:line="240" w:lineRule="auto"/>
        <w:ind w:left="720"/>
        <w:rPr>
          <w:rFonts w:ascii="Calibri" w:hAnsi="Calibri"/>
          <w:i/>
          <w:sz w:val="24"/>
        </w:rPr>
      </w:pPr>
      <w:r w:rsidRPr="00A91597">
        <w:rPr>
          <w:rFonts w:ascii="Calibri" w:hAnsi="Calibri"/>
          <w:i/>
          <w:sz w:val="24"/>
        </w:rPr>
        <w:t>“</w:t>
      </w:r>
      <w:r w:rsidRPr="00996B68">
        <w:rPr>
          <w:rFonts w:ascii="Calibri" w:hAnsi="Calibri"/>
          <w:b/>
          <w:i/>
          <w:sz w:val="24"/>
        </w:rPr>
        <w:t>The person is no</w:t>
      </w:r>
      <w:r w:rsidR="00A91597" w:rsidRPr="00996B68">
        <w:rPr>
          <w:rFonts w:ascii="Calibri" w:hAnsi="Calibri"/>
          <w:b/>
          <w:i/>
          <w:sz w:val="24"/>
        </w:rPr>
        <w:t>t allowed to leave the facility</w:t>
      </w:r>
    </w:p>
    <w:p w:rsidR="003A01C1" w:rsidRPr="00A91597" w:rsidRDefault="003A01C1" w:rsidP="00A91597">
      <w:pPr>
        <w:suppressAutoHyphens/>
        <w:spacing w:after="120" w:line="240" w:lineRule="auto"/>
        <w:ind w:left="720"/>
        <w:rPr>
          <w:rFonts w:ascii="Calibri" w:hAnsi="Calibri"/>
          <w:i/>
          <w:sz w:val="24"/>
        </w:rPr>
      </w:pPr>
      <w:r w:rsidRPr="00A91597">
        <w:rPr>
          <w:rFonts w:ascii="Calibri" w:hAnsi="Calibri"/>
          <w:i/>
          <w:sz w:val="24"/>
        </w:rPr>
        <w:t>If a person is, or would be, prevented from leaving the facility at all, whether by distraction, locked doors or restraint, that would be a relevant factor in considering whether or not there is deprivation of liberty. However, restrictions placed for the person’s protection would not necessarily amount to deprivation of liberty in the absence of other restrictions, for example if they are only able to leave when accompanied by a friend, family member or carer, or are not allowed to leave in the middle of the nig</w:t>
      </w:r>
      <w:r w:rsidR="00A91597" w:rsidRPr="00A91597">
        <w:rPr>
          <w:rFonts w:ascii="Calibri" w:hAnsi="Calibri"/>
          <w:i/>
          <w:sz w:val="24"/>
        </w:rPr>
        <w:t>ht.</w:t>
      </w:r>
    </w:p>
    <w:p w:rsidR="003A01C1" w:rsidRPr="00A91597" w:rsidRDefault="003A01C1" w:rsidP="00A91597">
      <w:pPr>
        <w:suppressAutoHyphens/>
        <w:spacing w:after="120" w:line="240" w:lineRule="auto"/>
        <w:ind w:left="720"/>
        <w:rPr>
          <w:rFonts w:ascii="Calibri" w:hAnsi="Calibri"/>
          <w:i/>
          <w:sz w:val="24"/>
        </w:rPr>
      </w:pPr>
      <w:r w:rsidRPr="00A91597">
        <w:rPr>
          <w:rFonts w:ascii="Calibri" w:hAnsi="Calibri"/>
          <w:i/>
          <w:sz w:val="24"/>
        </w:rPr>
        <w:t>A person is not deprived of their liberty simply because they lack the physical ability to leave, or the mental capacity to form a genuine intention to leave. But such a person could still b</w:t>
      </w:r>
      <w:r w:rsidR="00A91597" w:rsidRPr="00A91597">
        <w:rPr>
          <w:rFonts w:ascii="Calibri" w:hAnsi="Calibri"/>
          <w:i/>
          <w:sz w:val="24"/>
        </w:rPr>
        <w:t>e deprived of their liberty if-</w:t>
      </w:r>
    </w:p>
    <w:p w:rsidR="003A01C1" w:rsidRPr="00A91597" w:rsidRDefault="003A01C1" w:rsidP="00A91597">
      <w:pPr>
        <w:pStyle w:val="ListParagraph"/>
        <w:numPr>
          <w:ilvl w:val="0"/>
          <w:numId w:val="7"/>
        </w:numPr>
        <w:suppressAutoHyphens/>
        <w:spacing w:after="120" w:line="240" w:lineRule="auto"/>
        <w:rPr>
          <w:rFonts w:ascii="Calibri" w:hAnsi="Calibri"/>
          <w:i/>
          <w:sz w:val="24"/>
        </w:rPr>
      </w:pPr>
      <w:r w:rsidRPr="00A91597">
        <w:rPr>
          <w:rFonts w:ascii="Calibri" w:hAnsi="Calibri"/>
          <w:i/>
          <w:sz w:val="24"/>
        </w:rPr>
        <w:t>Family, friends or carers, who might reasonably expect to take decisions under the Mental Capacity Act 2005 in relation to the person, are prevented from moving them to another care s</w:t>
      </w:r>
      <w:r w:rsidR="00A91597" w:rsidRPr="00A91597">
        <w:rPr>
          <w:rFonts w:ascii="Calibri" w:hAnsi="Calibri"/>
          <w:i/>
          <w:sz w:val="24"/>
        </w:rPr>
        <w:t>etting or from taking them out.</w:t>
      </w:r>
    </w:p>
    <w:p w:rsidR="003A01C1" w:rsidRPr="00A91597" w:rsidRDefault="003A01C1" w:rsidP="00A91597">
      <w:pPr>
        <w:pStyle w:val="ListParagraph"/>
        <w:numPr>
          <w:ilvl w:val="0"/>
          <w:numId w:val="7"/>
        </w:numPr>
        <w:suppressAutoHyphens/>
        <w:spacing w:after="120" w:line="240" w:lineRule="auto"/>
        <w:rPr>
          <w:rFonts w:ascii="Calibri" w:hAnsi="Calibri"/>
          <w:i/>
          <w:sz w:val="24"/>
        </w:rPr>
      </w:pPr>
      <w:r w:rsidRPr="00A91597">
        <w:rPr>
          <w:rFonts w:ascii="Calibri" w:hAnsi="Calibri"/>
          <w:i/>
          <w:sz w:val="24"/>
        </w:rPr>
        <w:t>They are given no (or very limited) opportunity temporarily to go outside of the home or hospital (escorted or otherwise) even though that is physically possible and it seems likely that they would enjoy it, it would reduce their distress or anxiety, or w</w:t>
      </w:r>
      <w:r w:rsidR="00A91597" w:rsidRPr="00A91597">
        <w:rPr>
          <w:rFonts w:ascii="Calibri" w:hAnsi="Calibri"/>
          <w:i/>
          <w:sz w:val="24"/>
        </w:rPr>
        <w:t>ould otherwise be beneficial.</w:t>
      </w:r>
    </w:p>
    <w:p w:rsidR="003A01C1" w:rsidRPr="00996B68" w:rsidRDefault="003A01C1" w:rsidP="00A91597">
      <w:pPr>
        <w:suppressAutoHyphens/>
        <w:spacing w:after="120" w:line="240" w:lineRule="auto"/>
        <w:ind w:left="720"/>
        <w:rPr>
          <w:rFonts w:ascii="Calibri" w:hAnsi="Calibri"/>
          <w:b/>
          <w:i/>
          <w:sz w:val="24"/>
        </w:rPr>
      </w:pPr>
      <w:r w:rsidRPr="00996B68">
        <w:rPr>
          <w:rFonts w:ascii="Calibri" w:hAnsi="Calibri"/>
          <w:b/>
          <w:i/>
          <w:sz w:val="24"/>
        </w:rPr>
        <w:t>The person has no or very limited choice about their life w</w:t>
      </w:r>
      <w:r w:rsidR="00996B68" w:rsidRPr="00996B68">
        <w:rPr>
          <w:rFonts w:ascii="Calibri" w:hAnsi="Calibri"/>
          <w:b/>
          <w:i/>
          <w:sz w:val="24"/>
        </w:rPr>
        <w:t>ithin the care home or hospital</w:t>
      </w:r>
    </w:p>
    <w:p w:rsidR="003A01C1" w:rsidRPr="009D7F0A" w:rsidRDefault="003A01C1" w:rsidP="00A91597">
      <w:pPr>
        <w:suppressAutoHyphens/>
        <w:spacing w:after="120" w:line="240" w:lineRule="auto"/>
        <w:ind w:left="720"/>
        <w:rPr>
          <w:rFonts w:ascii="Calibri" w:hAnsi="Calibri"/>
          <w:sz w:val="24"/>
        </w:rPr>
      </w:pPr>
      <w:r w:rsidRPr="00A91597">
        <w:rPr>
          <w:rFonts w:ascii="Calibri" w:hAnsi="Calibri"/>
          <w:i/>
          <w:sz w:val="24"/>
        </w:rPr>
        <w:t xml:space="preserve">For example, where they can be within the facility, what they can do, whom they can associate with, when and what to eat. This could equally apply if choices were available but the care given to the person did not enable them to exercise that </w:t>
      </w:r>
      <w:r w:rsidRPr="00A91597">
        <w:rPr>
          <w:rFonts w:ascii="Calibri" w:hAnsi="Calibri"/>
          <w:i/>
          <w:sz w:val="24"/>
        </w:rPr>
        <w:lastRenderedPageBreak/>
        <w:t>choice. If a person is not allowed any freedom of movement within the unit they are probably deprived of their liberty. Regular use of medication or seating from which a person cannot get up in order to control a person’s behaviour and movement may constitute deprivation of liberty. Restrictions which are unavoidable in a group living situation, and which apply to all residents, would be unlikely in themselves to constitute a deprivation of liberty but this would depend on the context and the extent of other restrictions impo</w:t>
      </w:r>
      <w:r w:rsidR="00A91597" w:rsidRPr="00A91597">
        <w:rPr>
          <w:rFonts w:ascii="Calibri" w:hAnsi="Calibri"/>
          <w:i/>
          <w:sz w:val="24"/>
        </w:rPr>
        <w:t>sed on the person concerned.”</w:t>
      </w:r>
      <w:r w:rsidR="00A91597">
        <w:rPr>
          <w:rStyle w:val="FootnoteReference"/>
          <w:rFonts w:ascii="Calibri" w:hAnsi="Calibri"/>
          <w:sz w:val="24"/>
        </w:rPr>
        <w:footnoteReference w:id="32"/>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In their legislative scrutiny report on the Mental Health Bill,</w:t>
      </w:r>
      <w:r w:rsidR="00A91597">
        <w:rPr>
          <w:rStyle w:val="FootnoteReference"/>
          <w:rFonts w:ascii="Calibri" w:hAnsi="Calibri"/>
          <w:sz w:val="24"/>
        </w:rPr>
        <w:footnoteReference w:id="33"/>
      </w:r>
      <w:r w:rsidRPr="009D7F0A">
        <w:rPr>
          <w:rFonts w:ascii="Calibri" w:hAnsi="Calibri"/>
          <w:sz w:val="24"/>
        </w:rPr>
        <w:t xml:space="preserve"> the Joint Committee on Human Rights commented unfavourably on this guidance, preferring </w:t>
      </w:r>
      <w:proofErr w:type="spellStart"/>
      <w:r w:rsidRPr="009D7F0A">
        <w:rPr>
          <w:rFonts w:ascii="Calibri" w:hAnsi="Calibri"/>
          <w:sz w:val="24"/>
        </w:rPr>
        <w:t>Munby</w:t>
      </w:r>
      <w:proofErr w:type="spellEnd"/>
      <w:r w:rsidRPr="009D7F0A">
        <w:rPr>
          <w:rFonts w:ascii="Calibri" w:hAnsi="Calibri"/>
          <w:sz w:val="24"/>
        </w:rPr>
        <w:t xml:space="preserve"> J’s analysis of deprivation of liberty in </w:t>
      </w:r>
      <w:r w:rsidRPr="00996B68">
        <w:rPr>
          <w:rFonts w:ascii="Calibri" w:hAnsi="Calibri"/>
          <w:i/>
          <w:sz w:val="24"/>
        </w:rPr>
        <w:t xml:space="preserve">JE and DE v </w:t>
      </w:r>
      <w:r w:rsidR="001E4CCD" w:rsidRPr="00996B68">
        <w:rPr>
          <w:rFonts w:ascii="Calibri" w:hAnsi="Calibri"/>
          <w:i/>
          <w:sz w:val="24"/>
        </w:rPr>
        <w:t>Surrey County Council and EW</w:t>
      </w:r>
      <w:r w:rsidR="001E4CCD">
        <w:rPr>
          <w:rFonts w:ascii="Calibri" w:hAnsi="Calibri"/>
          <w:sz w:val="24"/>
        </w:rPr>
        <w:t>.</w:t>
      </w:r>
      <w:r w:rsidR="001E4CCD">
        <w:rPr>
          <w:rStyle w:val="FootnoteReference"/>
          <w:rFonts w:ascii="Calibri" w:hAnsi="Calibri"/>
          <w:sz w:val="24"/>
        </w:rPr>
        <w:footnoteReference w:id="34"/>
      </w:r>
    </w:p>
    <w:p w:rsidR="003A01C1" w:rsidRPr="009D7F0A" w:rsidRDefault="003A01C1" w:rsidP="001E4CCD">
      <w:pPr>
        <w:suppressAutoHyphens/>
        <w:spacing w:after="120" w:line="240" w:lineRule="auto"/>
        <w:ind w:left="720"/>
        <w:rPr>
          <w:rFonts w:ascii="Calibri" w:hAnsi="Calibri"/>
          <w:sz w:val="24"/>
        </w:rPr>
      </w:pPr>
      <w:r w:rsidRPr="001E4CCD">
        <w:rPr>
          <w:rFonts w:ascii="Calibri" w:hAnsi="Calibri"/>
          <w:i/>
          <w:sz w:val="24"/>
        </w:rPr>
        <w:t xml:space="preserve">“We consider that deprivation of liberty is a less flexible and elusive concept than might be thought from the draft illustrative guidance. Since we posed this question to the Government, </w:t>
      </w:r>
      <w:proofErr w:type="spellStart"/>
      <w:r w:rsidRPr="001E4CCD">
        <w:rPr>
          <w:rFonts w:ascii="Calibri" w:hAnsi="Calibri"/>
          <w:i/>
          <w:sz w:val="24"/>
        </w:rPr>
        <w:t>Munby</w:t>
      </w:r>
      <w:proofErr w:type="spellEnd"/>
      <w:r w:rsidRPr="001E4CCD">
        <w:rPr>
          <w:rFonts w:ascii="Calibri" w:hAnsi="Calibri"/>
          <w:i/>
          <w:sz w:val="24"/>
        </w:rPr>
        <w:t xml:space="preserve"> J has delivered judgment in </w:t>
      </w:r>
      <w:r w:rsidRPr="00996B68">
        <w:rPr>
          <w:rFonts w:ascii="Calibri" w:hAnsi="Calibri"/>
          <w:sz w:val="24"/>
        </w:rPr>
        <w:t>JE and DE v Surrey County Council and EW</w:t>
      </w:r>
      <w:r w:rsidRPr="001E4CCD">
        <w:rPr>
          <w:rFonts w:ascii="Calibri" w:hAnsi="Calibri"/>
          <w:i/>
          <w:sz w:val="24"/>
        </w:rPr>
        <w:t xml:space="preserve">, holding that the crucial issue in determining whether there is a deprivation of liberty is not so much whether the person’s freedom within the institutional setting is curtailed, but rather whether or not </w:t>
      </w:r>
      <w:r w:rsidR="001E4CCD" w:rsidRPr="001E4CCD">
        <w:rPr>
          <w:rFonts w:ascii="Calibri" w:hAnsi="Calibri"/>
          <w:i/>
          <w:sz w:val="24"/>
        </w:rPr>
        <w:t>the person is free to leave.”</w:t>
      </w:r>
      <w:r w:rsidR="001E4CCD">
        <w:rPr>
          <w:rStyle w:val="FootnoteReference"/>
          <w:rFonts w:ascii="Calibri" w:hAnsi="Calibri"/>
          <w:sz w:val="24"/>
        </w:rPr>
        <w:footnoteReference w:id="35"/>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Joint Committee also commented critically on the complexity of the </w:t>
      </w:r>
      <w:proofErr w:type="spellStart"/>
      <w:r w:rsidRPr="009D7F0A">
        <w:rPr>
          <w:rFonts w:ascii="Calibri" w:hAnsi="Calibri"/>
          <w:sz w:val="24"/>
        </w:rPr>
        <w:t>Bournewood</w:t>
      </w:r>
      <w:proofErr w:type="spellEnd"/>
      <w:r w:rsidRPr="009D7F0A">
        <w:rPr>
          <w:rFonts w:ascii="Calibri" w:hAnsi="Calibri"/>
          <w:sz w:val="24"/>
        </w:rPr>
        <w:t xml:space="preserve"> safeguards and questioned “whether they will be readily understood by proprietors of residential care homes, even with the benefit of professional advice.” Together with other commentators, they favour the inclusion in the amended MCA of a definition that is clear and simple to operate. The advantage of their preferred definition is that it requires only a single question to be asked: whether P is free to leave the place of residence. If not, there</w:t>
      </w:r>
      <w:r w:rsidR="001E4CCD">
        <w:rPr>
          <w:rFonts w:ascii="Calibri" w:hAnsi="Calibri"/>
          <w:sz w:val="24"/>
        </w:rPr>
        <w:t xml:space="preserve"> is a deprivation of liberty.</w:t>
      </w:r>
      <w:r w:rsidR="001E4CCD">
        <w:rPr>
          <w:rStyle w:val="FootnoteReference"/>
          <w:rFonts w:ascii="Calibri" w:hAnsi="Calibri"/>
          <w:sz w:val="24"/>
        </w:rPr>
        <w:footnoteReference w:id="36"/>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If this definition were to be inserted in the MCA it would surely increase the number of people subject to the new deprivation of liberty regime, as compared with the Government’s prediction that there will not be a “large number” of cases. It would include every mentally incapacitated person who would be prevented from leaving the premises where they are being provided with residential or hospital care. The Joint Committee’s definition, derived from </w:t>
      </w:r>
      <w:proofErr w:type="spellStart"/>
      <w:r w:rsidRPr="009D7F0A">
        <w:rPr>
          <w:rFonts w:ascii="Calibri" w:hAnsi="Calibri"/>
          <w:sz w:val="24"/>
        </w:rPr>
        <w:t>Munby</w:t>
      </w:r>
      <w:proofErr w:type="spellEnd"/>
      <w:r w:rsidRPr="009D7F0A">
        <w:rPr>
          <w:rFonts w:ascii="Calibri" w:hAnsi="Calibri"/>
          <w:sz w:val="24"/>
        </w:rPr>
        <w:t xml:space="preserve"> J, is much the same as that formulated by the Court of Appeal in the </w:t>
      </w:r>
      <w:proofErr w:type="spellStart"/>
      <w:r w:rsidRPr="009D7F0A">
        <w:rPr>
          <w:rFonts w:ascii="Calibri" w:hAnsi="Calibri"/>
          <w:sz w:val="24"/>
        </w:rPr>
        <w:t>Bournewood</w:t>
      </w:r>
      <w:proofErr w:type="spellEnd"/>
      <w:r w:rsidRPr="009D7F0A">
        <w:rPr>
          <w:rFonts w:ascii="Calibri" w:hAnsi="Calibri"/>
          <w:sz w:val="24"/>
        </w:rPr>
        <w:t xml:space="preserve"> case. According to evidence submitted by the Mental Health Act Commission to the House of Lords in that case, the Court of Appeal judgment would have resulted annually in an ad</w:t>
      </w:r>
      <w:r w:rsidR="00B764A1">
        <w:rPr>
          <w:rFonts w:ascii="Calibri" w:hAnsi="Calibri"/>
          <w:sz w:val="24"/>
        </w:rPr>
        <w:t>ditional 48,000 MHA detentions.</w:t>
      </w:r>
      <w:r w:rsidR="00B764A1">
        <w:rPr>
          <w:rStyle w:val="FootnoteReference"/>
          <w:rFonts w:ascii="Calibri" w:hAnsi="Calibri"/>
          <w:sz w:val="24"/>
        </w:rPr>
        <w:footnoteReference w:id="37"/>
      </w:r>
      <w:r w:rsidRPr="009D7F0A">
        <w:rPr>
          <w:rFonts w:ascii="Calibri" w:hAnsi="Calibri"/>
          <w:sz w:val="24"/>
        </w:rPr>
        <w:t xml:space="preserve"> To this figure would have to be </w:t>
      </w:r>
      <w:r w:rsidRPr="009D7F0A">
        <w:rPr>
          <w:rFonts w:ascii="Calibri" w:hAnsi="Calibri"/>
          <w:sz w:val="24"/>
        </w:rPr>
        <w:lastRenderedPageBreak/>
        <w:t>added the considerably larger number of mentally incapacitated people who are resident in care homes, and thus outside the scope of MHA detention powers, but who are deprived of liberty in the sense that they wou</w:t>
      </w:r>
      <w:r w:rsidR="00B764A1">
        <w:rPr>
          <w:rFonts w:ascii="Calibri" w:hAnsi="Calibri"/>
          <w:sz w:val="24"/>
        </w:rPr>
        <w:t>ld be prevented from leaving.</w:t>
      </w:r>
      <w:r w:rsidR="00B764A1">
        <w:rPr>
          <w:rStyle w:val="FootnoteReference"/>
          <w:rFonts w:ascii="Calibri" w:hAnsi="Calibri"/>
          <w:sz w:val="24"/>
        </w:rPr>
        <w:footnoteReference w:id="38"/>
      </w:r>
    </w:p>
    <w:p w:rsidR="003A01C1" w:rsidRPr="009D7F0A" w:rsidRDefault="003A01C1" w:rsidP="009D7F0A">
      <w:pPr>
        <w:suppressAutoHyphens/>
        <w:spacing w:after="120" w:line="240" w:lineRule="auto"/>
        <w:rPr>
          <w:rFonts w:ascii="Calibri" w:hAnsi="Calibri"/>
          <w:sz w:val="24"/>
        </w:rPr>
      </w:pPr>
    </w:p>
    <w:p w:rsidR="003A01C1" w:rsidRPr="00FC1C8A" w:rsidRDefault="003A01C1" w:rsidP="009D7F0A">
      <w:pPr>
        <w:suppressAutoHyphens/>
        <w:spacing w:after="120" w:line="240" w:lineRule="auto"/>
        <w:rPr>
          <w:rFonts w:ascii="Calibri" w:hAnsi="Calibri"/>
          <w:b/>
          <w:sz w:val="28"/>
        </w:rPr>
      </w:pPr>
      <w:r w:rsidRPr="00FC1C8A">
        <w:rPr>
          <w:rFonts w:ascii="Calibri" w:hAnsi="Calibri"/>
          <w:b/>
          <w:sz w:val="28"/>
        </w:rPr>
        <w:t>Deprivation of liberty and the us</w:t>
      </w:r>
      <w:r w:rsidR="00FC1C8A" w:rsidRPr="00FC1C8A">
        <w:rPr>
          <w:rFonts w:ascii="Calibri" w:hAnsi="Calibri"/>
          <w:b/>
          <w:sz w:val="28"/>
        </w:rPr>
        <w:t>e of the Mental Health Act 1983</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Government considers it would be undesirable if there was overlap between the MHA and MCA detention powers such that on a case by case basis a choice had to be made as to which was the more appropriate legal regime. Its solution is that the new MCA powers are to be used only in circumstances where existin</w:t>
      </w:r>
      <w:r w:rsidR="00FC1C8A">
        <w:rPr>
          <w:rFonts w:ascii="Calibri" w:hAnsi="Calibri"/>
          <w:sz w:val="24"/>
        </w:rPr>
        <w:t>g MHA powers are not available.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Schedule 7 of the Mental Health Bill inserts a new schedule 1A in the MCA: “Persons Ineligible to be Deprived of Liberty by this Act”. In giving precedence to the 1983 Act, this schedule includes not only the obvious case of people who are already detained pursuant to an application or order under the MHA, it also excludes from detention under the MCA people who are “within the scope of the Mental Health Act”. Paragraph 12 of the schedule defines what is m</w:t>
      </w:r>
      <w:r w:rsidR="00FC1C8A">
        <w:rPr>
          <w:rFonts w:ascii="Calibri" w:hAnsi="Calibri"/>
          <w:sz w:val="24"/>
        </w:rPr>
        <w:t>eant by being within the scope:</w:t>
      </w:r>
    </w:p>
    <w:p w:rsidR="003A01C1" w:rsidRPr="00E116D7" w:rsidRDefault="003A01C1" w:rsidP="00944EAA">
      <w:pPr>
        <w:pStyle w:val="ListParagraph"/>
        <w:numPr>
          <w:ilvl w:val="0"/>
          <w:numId w:val="8"/>
        </w:numPr>
        <w:suppressAutoHyphens/>
        <w:spacing w:after="120" w:line="240" w:lineRule="auto"/>
        <w:ind w:hanging="357"/>
        <w:contextualSpacing w:val="0"/>
        <w:rPr>
          <w:rFonts w:ascii="Calibri" w:hAnsi="Calibri"/>
          <w:i/>
          <w:sz w:val="24"/>
        </w:rPr>
      </w:pPr>
      <w:r w:rsidRPr="00E116D7">
        <w:rPr>
          <w:rFonts w:ascii="Calibri" w:hAnsi="Calibri"/>
          <w:i/>
          <w:sz w:val="24"/>
        </w:rPr>
        <w:t>“P is within the sco</w:t>
      </w:r>
      <w:r w:rsidR="00FC1C8A" w:rsidRPr="00E116D7">
        <w:rPr>
          <w:rFonts w:ascii="Calibri" w:hAnsi="Calibri"/>
          <w:i/>
          <w:sz w:val="24"/>
        </w:rPr>
        <w:t>pe of the Mental Health Act if—</w:t>
      </w:r>
    </w:p>
    <w:p w:rsidR="003A01C1" w:rsidRPr="00E116D7" w:rsidRDefault="003A01C1" w:rsidP="00944EAA">
      <w:pPr>
        <w:pStyle w:val="ListParagraph"/>
        <w:numPr>
          <w:ilvl w:val="0"/>
          <w:numId w:val="9"/>
        </w:numPr>
        <w:suppressAutoHyphens/>
        <w:spacing w:after="120" w:line="240" w:lineRule="auto"/>
        <w:ind w:hanging="357"/>
        <w:contextualSpacing w:val="0"/>
        <w:rPr>
          <w:rFonts w:ascii="Calibri" w:hAnsi="Calibri"/>
          <w:i/>
          <w:sz w:val="24"/>
        </w:rPr>
      </w:pPr>
      <w:r w:rsidRPr="00E116D7">
        <w:rPr>
          <w:rFonts w:ascii="Calibri" w:hAnsi="Calibri"/>
          <w:i/>
          <w:sz w:val="24"/>
        </w:rPr>
        <w:t xml:space="preserve">an application in respect of P could be made under section 2 or </w:t>
      </w:r>
      <w:r w:rsidR="00FC1C8A" w:rsidRPr="00E116D7">
        <w:rPr>
          <w:rFonts w:ascii="Calibri" w:hAnsi="Calibri"/>
          <w:i/>
          <w:sz w:val="24"/>
        </w:rPr>
        <w:t>3 of the Mental Health Act, and</w:t>
      </w:r>
    </w:p>
    <w:p w:rsidR="003A01C1" w:rsidRPr="00E116D7" w:rsidRDefault="003A01C1" w:rsidP="00944EAA">
      <w:pPr>
        <w:pStyle w:val="ListParagraph"/>
        <w:numPr>
          <w:ilvl w:val="0"/>
          <w:numId w:val="9"/>
        </w:numPr>
        <w:suppressAutoHyphens/>
        <w:spacing w:after="120" w:line="240" w:lineRule="auto"/>
        <w:ind w:hanging="357"/>
        <w:contextualSpacing w:val="0"/>
        <w:rPr>
          <w:rFonts w:ascii="Calibri" w:hAnsi="Calibri"/>
          <w:i/>
          <w:sz w:val="24"/>
        </w:rPr>
      </w:pPr>
      <w:r w:rsidRPr="00E116D7">
        <w:rPr>
          <w:rFonts w:ascii="Calibri" w:hAnsi="Calibri"/>
          <w:i/>
          <w:sz w:val="24"/>
        </w:rPr>
        <w:t>P could be detained in a hospital in pursuance of such</w:t>
      </w:r>
      <w:r w:rsidR="00FC1C8A" w:rsidRPr="00E116D7">
        <w:rPr>
          <w:rFonts w:ascii="Calibri" w:hAnsi="Calibri"/>
          <w:i/>
          <w:sz w:val="24"/>
        </w:rPr>
        <w:t xml:space="preserve"> an application, were one made.</w:t>
      </w:r>
    </w:p>
    <w:p w:rsidR="003A01C1" w:rsidRPr="00E116D7" w:rsidRDefault="003A01C1" w:rsidP="00944EAA">
      <w:pPr>
        <w:pStyle w:val="ListParagraph"/>
        <w:numPr>
          <w:ilvl w:val="0"/>
          <w:numId w:val="8"/>
        </w:numPr>
        <w:suppressAutoHyphens/>
        <w:spacing w:after="120" w:line="240" w:lineRule="auto"/>
        <w:ind w:hanging="357"/>
        <w:contextualSpacing w:val="0"/>
        <w:rPr>
          <w:rFonts w:ascii="Calibri" w:hAnsi="Calibri"/>
          <w:i/>
          <w:sz w:val="24"/>
        </w:rPr>
      </w:pPr>
      <w:r w:rsidRPr="00E116D7">
        <w:rPr>
          <w:rFonts w:ascii="Calibri" w:hAnsi="Calibri"/>
          <w:i/>
          <w:sz w:val="24"/>
        </w:rPr>
        <w:t>The following provisions of this paragraph apply when determ</w:t>
      </w:r>
      <w:r w:rsidR="00FC1C8A" w:rsidRPr="00E116D7">
        <w:rPr>
          <w:rFonts w:ascii="Calibri" w:hAnsi="Calibri"/>
          <w:i/>
          <w:sz w:val="24"/>
        </w:rPr>
        <w:t xml:space="preserve">ining whether an application in </w:t>
      </w:r>
      <w:r w:rsidRPr="00E116D7">
        <w:rPr>
          <w:rFonts w:ascii="Calibri" w:hAnsi="Calibri"/>
          <w:i/>
          <w:sz w:val="24"/>
        </w:rPr>
        <w:t>respect of P could be made under section 2</w:t>
      </w:r>
      <w:r w:rsidR="00FC1C8A" w:rsidRPr="00E116D7">
        <w:rPr>
          <w:rFonts w:ascii="Calibri" w:hAnsi="Calibri"/>
          <w:i/>
          <w:sz w:val="24"/>
        </w:rPr>
        <w:t xml:space="preserve"> or 3 of the Mental Health Act.</w:t>
      </w:r>
    </w:p>
    <w:p w:rsidR="003A01C1" w:rsidRPr="00E116D7" w:rsidRDefault="003A01C1" w:rsidP="00944EAA">
      <w:pPr>
        <w:pStyle w:val="ListParagraph"/>
        <w:numPr>
          <w:ilvl w:val="0"/>
          <w:numId w:val="8"/>
        </w:numPr>
        <w:suppressAutoHyphens/>
        <w:spacing w:after="120" w:line="240" w:lineRule="auto"/>
        <w:ind w:hanging="357"/>
        <w:contextualSpacing w:val="0"/>
        <w:rPr>
          <w:rFonts w:ascii="Calibri" w:hAnsi="Calibri"/>
          <w:i/>
          <w:sz w:val="24"/>
        </w:rPr>
      </w:pPr>
      <w:r w:rsidRPr="00E116D7">
        <w:rPr>
          <w:rFonts w:ascii="Calibri" w:hAnsi="Calibri"/>
          <w:i/>
          <w:sz w:val="24"/>
        </w:rPr>
        <w:t>If the grounds in section 2(2) of the Mental Health Act are met in P’s case, it is to be assumed that the recommendations referred to in section 2(</w:t>
      </w:r>
      <w:r w:rsidR="00FC1C8A" w:rsidRPr="00E116D7">
        <w:rPr>
          <w:rFonts w:ascii="Calibri" w:hAnsi="Calibri"/>
          <w:i/>
          <w:sz w:val="24"/>
        </w:rPr>
        <w:t>3) of that Act have been given.</w:t>
      </w:r>
    </w:p>
    <w:p w:rsidR="003A01C1" w:rsidRPr="00E116D7" w:rsidRDefault="003A01C1" w:rsidP="00944EAA">
      <w:pPr>
        <w:pStyle w:val="ListParagraph"/>
        <w:numPr>
          <w:ilvl w:val="0"/>
          <w:numId w:val="8"/>
        </w:numPr>
        <w:suppressAutoHyphens/>
        <w:spacing w:after="120" w:line="240" w:lineRule="auto"/>
        <w:ind w:hanging="357"/>
        <w:contextualSpacing w:val="0"/>
        <w:rPr>
          <w:rFonts w:ascii="Calibri" w:hAnsi="Calibri"/>
          <w:i/>
          <w:sz w:val="24"/>
        </w:rPr>
      </w:pPr>
      <w:r w:rsidRPr="00E116D7">
        <w:rPr>
          <w:rFonts w:ascii="Calibri" w:hAnsi="Calibri"/>
          <w:i/>
          <w:sz w:val="24"/>
        </w:rPr>
        <w:t>If the grounds in section 3(2) of the Mental Health Act are met in P’s case, it is to be assumed that the recommendations referred to in section 3(</w:t>
      </w:r>
      <w:r w:rsidR="00FC1C8A" w:rsidRPr="00E116D7">
        <w:rPr>
          <w:rFonts w:ascii="Calibri" w:hAnsi="Calibri"/>
          <w:i/>
          <w:sz w:val="24"/>
        </w:rPr>
        <w:t>3) of that Act have been given.</w:t>
      </w:r>
    </w:p>
    <w:p w:rsidR="003A01C1" w:rsidRPr="00E116D7" w:rsidRDefault="003A01C1" w:rsidP="00944EAA">
      <w:pPr>
        <w:pStyle w:val="ListParagraph"/>
        <w:numPr>
          <w:ilvl w:val="0"/>
          <w:numId w:val="8"/>
        </w:numPr>
        <w:suppressAutoHyphens/>
        <w:spacing w:after="120" w:line="240" w:lineRule="auto"/>
        <w:ind w:hanging="357"/>
        <w:contextualSpacing w:val="0"/>
        <w:rPr>
          <w:rFonts w:ascii="Calibri" w:hAnsi="Calibri"/>
          <w:i/>
          <w:sz w:val="24"/>
        </w:rPr>
      </w:pPr>
      <w:r w:rsidRPr="00E116D7">
        <w:rPr>
          <w:rFonts w:ascii="Calibri" w:hAnsi="Calibri"/>
          <w:i/>
          <w:sz w:val="24"/>
        </w:rPr>
        <w:t>In determining whether the ground in section 3(2)(c) of the Mental He</w:t>
      </w:r>
      <w:r w:rsidR="00944EAA" w:rsidRPr="00E116D7">
        <w:rPr>
          <w:rFonts w:ascii="Calibri" w:hAnsi="Calibri"/>
          <w:i/>
          <w:sz w:val="24"/>
        </w:rPr>
        <w:t>alth Act is met in P’s case,</w:t>
      </w:r>
      <w:r w:rsidR="00944EAA" w:rsidRPr="00E116D7">
        <w:rPr>
          <w:rStyle w:val="FootnoteReference"/>
          <w:rFonts w:ascii="Calibri" w:hAnsi="Calibri"/>
          <w:i/>
          <w:sz w:val="24"/>
        </w:rPr>
        <w:footnoteReference w:id="39"/>
      </w:r>
      <w:r w:rsidRPr="00E116D7">
        <w:rPr>
          <w:rFonts w:ascii="Calibri" w:hAnsi="Calibri"/>
          <w:i/>
          <w:sz w:val="24"/>
        </w:rPr>
        <w:t xml:space="preserve"> it is to be assumed that the treatment referred to in section 3(2)(c) cannot be provided </w:t>
      </w:r>
      <w:r w:rsidR="00FC1C8A" w:rsidRPr="00E116D7">
        <w:rPr>
          <w:rFonts w:ascii="Calibri" w:hAnsi="Calibri"/>
          <w:i/>
          <w:sz w:val="24"/>
        </w:rPr>
        <w:t>under this Act [i.e. the MCA].”</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lastRenderedPageBreak/>
        <w:t>The object is to capture established practice under the MHA and to prevent any change that would result in people being detained under the MCA in future in circumstances where currently they would be detained under the MHA. If, on the other hand, someone would not now be detained under the MHA, but is nonetheless being deprived of liberty, the MCA is to be used. For example, a person who lacks capacity and does not object to hospital admission would not now be detained under the MHA. It is proposed that in future such a person, if deprived of liberty, would be detainable under the MCA. It is not clear, however, that Schedule 1A will have the result intended by the Government. Arguably, the effect of paragraph 12(5) of the schedule is that anyone who is deprived of liberty in a psychiatric hospital is detainable under the MHA and should be so detained rather than being deprived of liberty under the proposed MCA provisions. The only exception to this would appear to be people whose mental disorder excludes them from detention under section 3 and other treatment sections because of the restricted definitions of the classified forms of mental disorder currently to be foun</w:t>
      </w:r>
      <w:r w:rsidR="00944EAA">
        <w:rPr>
          <w:rFonts w:ascii="Calibri" w:hAnsi="Calibri"/>
          <w:sz w:val="24"/>
        </w:rPr>
        <w:t>d in section 1(2) of the MHA.</w:t>
      </w:r>
      <w:r w:rsidR="00944EAA">
        <w:rPr>
          <w:rStyle w:val="FootnoteReference"/>
          <w:rFonts w:ascii="Calibri" w:hAnsi="Calibri"/>
          <w:sz w:val="24"/>
        </w:rPr>
        <w:footnoteReference w:id="40"/>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If we return again to the wandering patient and the guidance in paragraph 19.27 of the MHA Code of Practice, the question being addressed there is whether such a person is to be understood as objecting to being in hospital – the test being whether they are persistently and/or purposely trying to leave. If, however, deprivation of liberty does not, in such a case, depend on the person’s intentions but solely on whether, regardless of their intentions, they would be allowed to leave, the guidance can be of no assistance. It cannot in any case provide the answer to the question whether, assuming there is a deprivation of liberty, it could lawfully be under the MHA. It is not possible to identify any provision in the MHA which precludes its use in such circumstances. The point is made succinctly in the current edition of the </w:t>
      </w:r>
      <w:r w:rsidRPr="006739EE">
        <w:rPr>
          <w:rFonts w:ascii="Calibri" w:hAnsi="Calibri"/>
          <w:i/>
          <w:sz w:val="24"/>
        </w:rPr>
        <w:t>Mental Health Act Manual</w:t>
      </w:r>
      <w:r w:rsidRPr="009D7F0A">
        <w:rPr>
          <w:rFonts w:ascii="Calibri" w:hAnsi="Calibri"/>
          <w:sz w:val="24"/>
        </w:rPr>
        <w:t>: “An assessment for the sectioning of a mentally incapacitated person who is compliant to being in hospital should be made if the patient is being deprived of his or her liberty as a failure to detain the patient under [the MHA] would violate the patient’s r</w:t>
      </w:r>
      <w:r w:rsidR="00944EAA">
        <w:rPr>
          <w:rFonts w:ascii="Calibri" w:hAnsi="Calibri"/>
          <w:sz w:val="24"/>
        </w:rPr>
        <w:t>ight under Art. 5 of the ECHR.”</w:t>
      </w:r>
      <w:r w:rsidR="00944EAA">
        <w:rPr>
          <w:rStyle w:val="FootnoteReference"/>
          <w:rFonts w:ascii="Calibri" w:hAnsi="Calibri"/>
          <w:sz w:val="24"/>
        </w:rPr>
        <w:footnoteReference w:id="41"/>
      </w:r>
      <w:r w:rsidRPr="009D7F0A">
        <w:rPr>
          <w:rFonts w:ascii="Calibri" w:hAnsi="Calibri"/>
          <w:sz w:val="24"/>
        </w:rPr>
        <w:t xml:space="preserve"> Once it is accepted that it would be lawful to detain such a person under the MHA, the effect of paragraph 12(5) of schedule 1A is that they are </w:t>
      </w:r>
      <w:r w:rsidRPr="006739EE">
        <w:rPr>
          <w:rFonts w:ascii="Calibri" w:hAnsi="Calibri"/>
          <w:i/>
          <w:sz w:val="24"/>
        </w:rPr>
        <w:t>within</w:t>
      </w:r>
      <w:r w:rsidRPr="009D7F0A">
        <w:rPr>
          <w:rFonts w:ascii="Calibri" w:hAnsi="Calibri"/>
          <w:sz w:val="24"/>
        </w:rPr>
        <w:t xml:space="preserve"> the scope of the MHA and thus excluded from the proposed MCA deprivation of liberty regime. This is apparently not the Government’s intention. The </w:t>
      </w:r>
      <w:proofErr w:type="spellStart"/>
      <w:r w:rsidRPr="009D7F0A">
        <w:rPr>
          <w:rFonts w:ascii="Calibri" w:hAnsi="Calibri"/>
          <w:sz w:val="24"/>
        </w:rPr>
        <w:t>Bournewood</w:t>
      </w:r>
      <w:proofErr w:type="spellEnd"/>
      <w:r w:rsidRPr="009D7F0A">
        <w:rPr>
          <w:rFonts w:ascii="Calibri" w:hAnsi="Calibri"/>
          <w:sz w:val="24"/>
        </w:rPr>
        <w:t xml:space="preserve"> Briefing Sheet says: “The new [MCA] procedure cannot be used to detain people in hospital for treatment of mental disorder in situations where the Mental Health Act could be used instead if they are thought to object to detention for the purposes of such treatment. This will mean that people who object will be treated in broadly the same way as people with capacity who are refusing treatment for mental disorder and who need to be detained as a result.”</w:t>
      </w:r>
      <w:r w:rsidR="00944EAA">
        <w:rPr>
          <w:rStyle w:val="FootnoteReference"/>
          <w:rFonts w:ascii="Calibri" w:hAnsi="Calibri"/>
          <w:sz w:val="24"/>
        </w:rPr>
        <w:footnoteReference w:id="42"/>
      </w:r>
      <w:r w:rsidRPr="009D7F0A">
        <w:rPr>
          <w:rFonts w:ascii="Calibri" w:hAnsi="Calibri"/>
          <w:sz w:val="24"/>
        </w:rPr>
        <w:t xml:space="preserve"> The implication is that people who do not object will not be detained under the MHA, but instead will be deprived of their liberty under the MCA. If the Government does not want such people to be detained under the MHA it may have to make clear in the legislation which classes of people with mental disorders who are deprived of liberty fall to be dealt with unde</w:t>
      </w:r>
      <w:r w:rsidR="00944EAA">
        <w:rPr>
          <w:rFonts w:ascii="Calibri" w:hAnsi="Calibri"/>
          <w:sz w:val="24"/>
        </w:rPr>
        <w:t>r the MHA and MCA respectively.</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lastRenderedPageBreak/>
        <w:t xml:space="preserve">What of the person with dementia who, albeit mentally incapacitated, does object to the hospital regime and subsequently to the residential care home? According to the Government, such a person is clearly </w:t>
      </w:r>
      <w:r w:rsidRPr="006739EE">
        <w:rPr>
          <w:rFonts w:ascii="Calibri" w:hAnsi="Calibri"/>
          <w:i/>
          <w:sz w:val="24"/>
        </w:rPr>
        <w:t>within</w:t>
      </w:r>
      <w:r w:rsidRPr="009D7F0A">
        <w:rPr>
          <w:rFonts w:ascii="Calibri" w:hAnsi="Calibri"/>
          <w:sz w:val="24"/>
        </w:rPr>
        <w:t xml:space="preserve"> the scope of the MHA where admission to hospital is being considered or is </w:t>
      </w:r>
      <w:proofErr w:type="spellStart"/>
      <w:r w:rsidRPr="009D7F0A">
        <w:rPr>
          <w:rFonts w:ascii="Calibri" w:hAnsi="Calibri"/>
          <w:sz w:val="24"/>
        </w:rPr>
        <w:t>effected</w:t>
      </w:r>
      <w:proofErr w:type="spellEnd"/>
      <w:r w:rsidRPr="009D7F0A">
        <w:rPr>
          <w:rFonts w:ascii="Calibri" w:hAnsi="Calibri"/>
          <w:sz w:val="24"/>
        </w:rPr>
        <w:t xml:space="preserve">. With the move to residential care, even though still objecting, he or she is clearly </w:t>
      </w:r>
      <w:r w:rsidRPr="006739EE">
        <w:rPr>
          <w:rFonts w:ascii="Calibri" w:hAnsi="Calibri"/>
          <w:i/>
          <w:sz w:val="24"/>
        </w:rPr>
        <w:t>outside</w:t>
      </w:r>
      <w:r w:rsidRPr="009D7F0A">
        <w:rPr>
          <w:rFonts w:ascii="Calibri" w:hAnsi="Calibri"/>
          <w:sz w:val="24"/>
        </w:rPr>
        <w:t xml:space="preserve"> the scope, for the simple reason that the MHA is not capable of authorising a deprivation of liberty outside hospital. Such a person would therefore move from one legal regime to another at the point of leaving hospital. It is difficult to identify any principled reason why a different regime, with different legal criteria and procedural safeguards, should apply according </w:t>
      </w:r>
      <w:r w:rsidR="00944EAA">
        <w:rPr>
          <w:rFonts w:ascii="Calibri" w:hAnsi="Calibri"/>
          <w:sz w:val="24"/>
        </w:rPr>
        <w:t>only to the place of detention.</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Another example is a person with what the Mental Health Bill defines as a learning disability: “a state of arrested or incomplete development of mind which includes significant impairment of intelligence and social functioning”. If that person’s learning disability is not “associated with abnormally aggressive or seriously irresponsible conduct on his part”, he or she will be detainable under section 2 of the MHA for a maximum of 28 days but thereafter, assuming a lack of capacity, will be detainable i</w:t>
      </w:r>
      <w:r w:rsidR="00944EAA">
        <w:rPr>
          <w:rFonts w:ascii="Calibri" w:hAnsi="Calibri"/>
          <w:sz w:val="24"/>
        </w:rPr>
        <w:t>n hospital only under the MCA,</w:t>
      </w:r>
      <w:r w:rsidR="00944EAA">
        <w:rPr>
          <w:rStyle w:val="FootnoteReference"/>
          <w:rFonts w:ascii="Calibri" w:hAnsi="Calibri"/>
          <w:sz w:val="24"/>
        </w:rPr>
        <w:footnoteReference w:id="43"/>
      </w:r>
      <w:r w:rsidRPr="009D7F0A">
        <w:rPr>
          <w:rFonts w:ascii="Calibri" w:hAnsi="Calibri"/>
          <w:sz w:val="24"/>
        </w:rPr>
        <w:t xml:space="preserve"> regardless of his or her attitude to being in hospital and to the treatment being offered. The explanation for this is historical and may now appear anachronistic, the policy aim having been to avoid the use of formal legal powers in relation to most people with a learning disability who require in-patient psychiatric treatment. If that same individual objects to care in a nursing home he or she will, of course, be</w:t>
      </w:r>
      <w:r w:rsidR="00944EAA">
        <w:rPr>
          <w:rFonts w:ascii="Calibri" w:hAnsi="Calibri"/>
          <w:sz w:val="24"/>
        </w:rPr>
        <w:t xml:space="preserve"> detainable only under the MCA.</w:t>
      </w:r>
    </w:p>
    <w:p w:rsidR="003A01C1" w:rsidRPr="009D7F0A" w:rsidRDefault="003A01C1" w:rsidP="009D7F0A">
      <w:pPr>
        <w:suppressAutoHyphens/>
        <w:spacing w:after="120" w:line="240" w:lineRule="auto"/>
        <w:rPr>
          <w:rFonts w:ascii="Calibri" w:hAnsi="Calibri"/>
          <w:sz w:val="24"/>
        </w:rPr>
      </w:pPr>
    </w:p>
    <w:p w:rsidR="003A01C1" w:rsidRPr="00944EAA" w:rsidRDefault="00944EAA" w:rsidP="009D7F0A">
      <w:pPr>
        <w:suppressAutoHyphens/>
        <w:spacing w:after="120" w:line="240" w:lineRule="auto"/>
        <w:rPr>
          <w:rFonts w:ascii="Calibri" w:hAnsi="Calibri"/>
          <w:b/>
          <w:sz w:val="28"/>
        </w:rPr>
      </w:pPr>
      <w:r w:rsidRPr="00944EAA">
        <w:rPr>
          <w:rFonts w:ascii="Calibri" w:hAnsi="Calibri"/>
          <w:b/>
          <w:sz w:val="28"/>
        </w:rPr>
        <w:t>Discussion</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following criticisms can be made</w:t>
      </w:r>
      <w:r w:rsidR="00944EAA">
        <w:rPr>
          <w:rFonts w:ascii="Calibri" w:hAnsi="Calibri"/>
          <w:sz w:val="24"/>
        </w:rPr>
        <w:t xml:space="preserve"> of the Government’s proposals:</w:t>
      </w:r>
    </w:p>
    <w:p w:rsidR="003A01C1" w:rsidRPr="00944EAA" w:rsidRDefault="003A01C1" w:rsidP="002964B2">
      <w:pPr>
        <w:pStyle w:val="ListParagraph"/>
        <w:numPr>
          <w:ilvl w:val="0"/>
          <w:numId w:val="10"/>
        </w:numPr>
        <w:suppressAutoHyphens/>
        <w:spacing w:after="120" w:line="240" w:lineRule="auto"/>
        <w:ind w:left="714" w:hanging="357"/>
        <w:contextualSpacing w:val="0"/>
        <w:rPr>
          <w:rFonts w:ascii="Calibri" w:hAnsi="Calibri"/>
          <w:sz w:val="24"/>
        </w:rPr>
      </w:pPr>
      <w:r w:rsidRPr="00944EAA">
        <w:rPr>
          <w:rFonts w:ascii="Calibri" w:hAnsi="Calibri"/>
          <w:sz w:val="24"/>
        </w:rPr>
        <w:t xml:space="preserve">The two detention regimes, respectively under the MHA and MCA, are designed for different purposes but in drawing the boundary between them the Government has not taken this into account. Instead the Government has sought, while not changing the scope of MHA detention powers, to create by amendments to the MCA a residual regime for deprivation of liberty outside the MHA. A consequence of the Government’s proposals is that the same individual can move between the two regimes, by reason only of considerations such as the place of detention or a technical definition of mental disorder in the MHA, where there is no change in the individual’s mental condition or attitude to receiving care. Moreover, the distinction between those within and outside the scope of the MHA is less clear than the Government has assumed. This may lead </w:t>
      </w:r>
      <w:r w:rsidR="00944EAA" w:rsidRPr="00944EAA">
        <w:rPr>
          <w:rFonts w:ascii="Calibri" w:hAnsi="Calibri"/>
          <w:sz w:val="24"/>
        </w:rPr>
        <w:t>to inconsistencies in practice.</w:t>
      </w:r>
    </w:p>
    <w:p w:rsidR="003A01C1" w:rsidRPr="00944EAA" w:rsidRDefault="003A01C1" w:rsidP="002964B2">
      <w:pPr>
        <w:pStyle w:val="ListParagraph"/>
        <w:numPr>
          <w:ilvl w:val="0"/>
          <w:numId w:val="10"/>
        </w:numPr>
        <w:suppressAutoHyphens/>
        <w:spacing w:after="120" w:line="240" w:lineRule="auto"/>
        <w:ind w:left="714" w:hanging="357"/>
        <w:contextualSpacing w:val="0"/>
        <w:rPr>
          <w:rFonts w:ascii="Calibri" w:hAnsi="Calibri"/>
          <w:sz w:val="24"/>
        </w:rPr>
      </w:pPr>
      <w:r w:rsidRPr="00944EAA">
        <w:rPr>
          <w:rFonts w:ascii="Calibri" w:hAnsi="Calibri"/>
          <w:sz w:val="24"/>
        </w:rPr>
        <w:t xml:space="preserve">Another consequence of the Government’s approach is that the new MCA detention regime has to cover a wide range of people who have in common only that they are in need of care in a hospital or other residential setting and they lack capacity to consent to it. If the proposed MCA powers were to be confined to those patients who are compliant with their care and whose mental incapacity is associated with a significant degree of cognitive impairment, it is arguable that a less complicated, and potentially less costly, regime would suffice to satisfy the Article 5 “in accordance with a procedure prescribed by law” requirement. This is of particular relevance </w:t>
      </w:r>
      <w:r w:rsidRPr="00944EAA">
        <w:rPr>
          <w:rFonts w:ascii="Calibri" w:hAnsi="Calibri"/>
          <w:sz w:val="24"/>
        </w:rPr>
        <w:lastRenderedPageBreak/>
        <w:t>because it appears that the Government has underestimated the number of mentally incapacitated people who are necessarily being deprived of their liberty and therefore the total cost of the new</w:t>
      </w:r>
      <w:r w:rsidR="00944EAA" w:rsidRPr="00944EAA">
        <w:rPr>
          <w:rFonts w:ascii="Calibri" w:hAnsi="Calibri"/>
          <w:sz w:val="24"/>
        </w:rPr>
        <w:t xml:space="preserve"> deprivation of liberty regime.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In relation to the first criticism, the MHA and MCA detention regimes are designed for different purposes. They have different legal criteria for detention and different procedural safeguards. As the historical background demonstrates, the essence of detention under the MHA is that the State takes away an individual’s liberty against that person’s will. The MHA, reflecting ECHR norms, sets a risk threshold before the state can legitimately intervene and it provides the individual with recourse to the mental health review tribunal to challenge the judgments of the professionals, whether about the presence or nature of a mental disorder or the risks associated with it. The tribunal has to consider the proportionality of any deprivation of liberty by balancing the risks, including to the patient himself, against the loss of liberty which detention necessarily entails. From the individual’s point of view, the desired outcome in such proceedings is the recovery of liberty: the freedom to choose whether to remain i</w:t>
      </w:r>
      <w:r w:rsidR="00944EAA">
        <w:rPr>
          <w:rFonts w:ascii="Calibri" w:hAnsi="Calibri"/>
          <w:sz w:val="24"/>
        </w:rPr>
        <w:t>n hospital or to return home.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proposed MCA regime serves a different purpose, particularly if deprivation of liberty is equated with the individual not being free to leave the place where residential care is being provided. If for such an individual, like HL in the </w:t>
      </w:r>
      <w:proofErr w:type="spellStart"/>
      <w:r w:rsidRPr="009D7F0A">
        <w:rPr>
          <w:rFonts w:ascii="Calibri" w:hAnsi="Calibri"/>
          <w:sz w:val="24"/>
        </w:rPr>
        <w:t>Bournewood</w:t>
      </w:r>
      <w:proofErr w:type="spellEnd"/>
      <w:r w:rsidRPr="009D7F0A">
        <w:rPr>
          <w:rFonts w:ascii="Calibri" w:hAnsi="Calibri"/>
          <w:sz w:val="24"/>
        </w:rPr>
        <w:t xml:space="preserve"> case, it would, as Lord Nolan said, be “wholly irresponsible … to let him leave”,</w:t>
      </w:r>
      <w:r w:rsidR="00944EAA">
        <w:rPr>
          <w:rStyle w:val="FootnoteReference"/>
          <w:rFonts w:ascii="Calibri" w:hAnsi="Calibri"/>
          <w:sz w:val="24"/>
        </w:rPr>
        <w:footnoteReference w:id="44"/>
      </w:r>
      <w:r w:rsidRPr="009D7F0A">
        <w:rPr>
          <w:rFonts w:ascii="Calibri" w:hAnsi="Calibri"/>
          <w:sz w:val="24"/>
        </w:rPr>
        <w:t xml:space="preserve"> it is difficult to envisage how there could be a successful challenge to such a deprivation of liberty. There may of course be instances where the professionals get the judgment wrong, such that it would be safe for the person to be free to leave; but where the mental incapacity is associated with significant cognitive impairment it is unlikely that there would be many such cases. Different considerations will arise in cases such as HL’s where at all times there was available a better alternative to hospital care. However, it would surely be a mistaken view to see this as an Article 5 issue equivalent to the patient detained under the MHA who asserts the right to return home. For someone like HL, the question whether to remain in hospital or to return home is essentially a judgment made by others about his best interests. It is not about deprivation of liberty, as presumably he would not be free to leave wherever he was being properly cared for, for the reason give</w:t>
      </w:r>
      <w:r w:rsidR="00091C2C">
        <w:rPr>
          <w:rFonts w:ascii="Calibri" w:hAnsi="Calibri"/>
          <w:sz w:val="24"/>
        </w:rPr>
        <w:t>n</w:t>
      </w:r>
      <w:r w:rsidRPr="009D7F0A">
        <w:rPr>
          <w:rFonts w:ascii="Calibri" w:hAnsi="Calibri"/>
          <w:sz w:val="24"/>
        </w:rPr>
        <w:t xml:space="preserve"> by Lord Nolan. Within the framework of the MCA, the question as to an incapacitated person’s place of residence would normally be considered applying the principles and procedures in the main body of the Act, rather than through the proposed new</w:t>
      </w:r>
      <w:r w:rsidR="00944EAA">
        <w:rPr>
          <w:rFonts w:ascii="Calibri" w:hAnsi="Calibri"/>
          <w:sz w:val="24"/>
        </w:rPr>
        <w:t xml:space="preserve"> deprivation of liberty regime.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It is no doubt true that many of those who are detained under the MHA, including those with mental illnesses such as schizophrenia who are not cognitively impaired, lack capacity at the point of admission. What they have in common is that they object to being in hospital or to receiving treatment. To a greater or lesser degree they assert the right to be free to make their own choices. The MHA is undoubtedly the appropriate legal framework for such people. It is no less appropriate because they happen to be in a nursing home rather than a hospital or because they have a learning disability which is not associated with “abnormally aggressive or seriously irresponsible conduct”. The first element of a coherent approach to the </w:t>
      </w:r>
      <w:proofErr w:type="spellStart"/>
      <w:r w:rsidRPr="009D7F0A">
        <w:rPr>
          <w:rFonts w:ascii="Calibri" w:hAnsi="Calibri"/>
          <w:sz w:val="24"/>
        </w:rPr>
        <w:t>ECtHR’s</w:t>
      </w:r>
      <w:proofErr w:type="spellEnd"/>
      <w:r w:rsidRPr="009D7F0A">
        <w:rPr>
          <w:rFonts w:ascii="Calibri" w:hAnsi="Calibri"/>
          <w:sz w:val="24"/>
        </w:rPr>
        <w:t xml:space="preserve"> judgment in the </w:t>
      </w:r>
      <w:proofErr w:type="spellStart"/>
      <w:r w:rsidRPr="009D7F0A">
        <w:rPr>
          <w:rFonts w:ascii="Calibri" w:hAnsi="Calibri"/>
          <w:sz w:val="24"/>
        </w:rPr>
        <w:t>Bournewood</w:t>
      </w:r>
      <w:proofErr w:type="spellEnd"/>
      <w:r w:rsidRPr="009D7F0A">
        <w:rPr>
          <w:rFonts w:ascii="Calibri" w:hAnsi="Calibri"/>
          <w:sz w:val="24"/>
        </w:rPr>
        <w:t xml:space="preserve"> case would be to bring within the MHA all those who object to the care regime which deprives them of their liberty. This would mean </w:t>
      </w:r>
      <w:r w:rsidRPr="009D7F0A">
        <w:rPr>
          <w:rFonts w:ascii="Calibri" w:hAnsi="Calibri"/>
          <w:sz w:val="24"/>
        </w:rPr>
        <w:lastRenderedPageBreak/>
        <w:t>extending MHA detention to settings other than hospitals, possibly through an en</w:t>
      </w:r>
      <w:r w:rsidR="00944EAA">
        <w:rPr>
          <w:rFonts w:ascii="Calibri" w:hAnsi="Calibri"/>
          <w:sz w:val="24"/>
        </w:rPr>
        <w:t>hanced MHA guardianship regime.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second element would be to exclude from detention under the MHA all those who do not object to the care regime which deprives them of their liberty. It is accepted that it may sometimes be difficult to know whether a person is or is not objecting but this is something which, as now, could be the subject of </w:t>
      </w:r>
      <w:r w:rsidR="00944EAA">
        <w:rPr>
          <w:rFonts w:ascii="Calibri" w:hAnsi="Calibri"/>
          <w:sz w:val="24"/>
        </w:rPr>
        <w:t>guidance in a code of practice.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The third element would be to include within the MCA a definition of deprivation of liberty of the kind proposed by the Joint Committee on Human Rights. People who lack capacity and are deprived of liberty because of mental disorder, but who do not object or resist, would come within a new MCA deten</w:t>
      </w:r>
      <w:r w:rsidR="00944EAA">
        <w:rPr>
          <w:rFonts w:ascii="Calibri" w:hAnsi="Calibri"/>
          <w:sz w:val="24"/>
        </w:rPr>
        <w:t>tion regime.</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Turning to the second criticism, in seeking to ensure that the new MCA regime complies with the Article 5 “in accordance with a procedure prescribed by law” requirement, the Government’s approach has been to meet the criticisms made by the </w:t>
      </w:r>
      <w:proofErr w:type="spellStart"/>
      <w:r w:rsidRPr="009D7F0A">
        <w:rPr>
          <w:rFonts w:ascii="Calibri" w:hAnsi="Calibri"/>
          <w:sz w:val="24"/>
        </w:rPr>
        <w:t>ECtHR</w:t>
      </w:r>
      <w:proofErr w:type="spellEnd"/>
      <w:r w:rsidRPr="009D7F0A">
        <w:rPr>
          <w:rFonts w:ascii="Calibri" w:hAnsi="Calibri"/>
          <w:sz w:val="24"/>
        </w:rPr>
        <w:t xml:space="preserve"> in the </w:t>
      </w:r>
      <w:proofErr w:type="spellStart"/>
      <w:r w:rsidRPr="009D7F0A">
        <w:rPr>
          <w:rFonts w:ascii="Calibri" w:hAnsi="Calibri"/>
          <w:sz w:val="24"/>
        </w:rPr>
        <w:t>Bournewood</w:t>
      </w:r>
      <w:proofErr w:type="spellEnd"/>
      <w:r w:rsidRPr="009D7F0A">
        <w:rPr>
          <w:rFonts w:ascii="Calibri" w:hAnsi="Calibri"/>
          <w:sz w:val="24"/>
        </w:rPr>
        <w:t xml:space="preserve"> case. Its proposed procedural safeguards mirror those criticisms. The Government appears to have assumed that in drawing attention to the lack of specific procedural safeguards in connection with HL’s admission to </w:t>
      </w:r>
      <w:proofErr w:type="spellStart"/>
      <w:r w:rsidRPr="009D7F0A">
        <w:rPr>
          <w:rFonts w:ascii="Calibri" w:hAnsi="Calibri"/>
          <w:sz w:val="24"/>
        </w:rPr>
        <w:t>Bournewood</w:t>
      </w:r>
      <w:proofErr w:type="spellEnd"/>
      <w:r w:rsidRPr="009D7F0A">
        <w:rPr>
          <w:rFonts w:ascii="Calibri" w:hAnsi="Calibri"/>
          <w:sz w:val="24"/>
        </w:rPr>
        <w:t xml:space="preserve">, the </w:t>
      </w:r>
      <w:proofErr w:type="spellStart"/>
      <w:r w:rsidRPr="009D7F0A">
        <w:rPr>
          <w:rFonts w:ascii="Calibri" w:hAnsi="Calibri"/>
          <w:sz w:val="24"/>
        </w:rPr>
        <w:t>ECtHR</w:t>
      </w:r>
      <w:proofErr w:type="spellEnd"/>
      <w:r w:rsidRPr="009D7F0A">
        <w:rPr>
          <w:rFonts w:ascii="Calibri" w:hAnsi="Calibri"/>
          <w:sz w:val="24"/>
        </w:rPr>
        <w:t xml:space="preserve"> intended to lay down minimum standards for an Article 5 compliant procedure in cases where deprivation of liberty arises from mental disorder. This would be a misreading of a judgment in which the Court also commented favourably on what was then the Mental Ca</w:t>
      </w:r>
      <w:r w:rsidR="00944EAA">
        <w:rPr>
          <w:rFonts w:ascii="Calibri" w:hAnsi="Calibri"/>
          <w:sz w:val="24"/>
        </w:rPr>
        <w:t>pacity Bill and is now the MCA:</w:t>
      </w:r>
    </w:p>
    <w:p w:rsidR="003A01C1" w:rsidRPr="00670EC8" w:rsidRDefault="003A01C1" w:rsidP="00670EC8">
      <w:pPr>
        <w:suppressAutoHyphens/>
        <w:spacing w:after="120" w:line="240" w:lineRule="auto"/>
        <w:ind w:left="720"/>
        <w:rPr>
          <w:rFonts w:ascii="Calibri" w:hAnsi="Calibri"/>
          <w:i/>
          <w:sz w:val="24"/>
        </w:rPr>
      </w:pPr>
      <w:r w:rsidRPr="00670EC8">
        <w:rPr>
          <w:rFonts w:ascii="Calibri" w:hAnsi="Calibri"/>
          <w:i/>
          <w:sz w:val="24"/>
        </w:rPr>
        <w:t xml:space="preserve">“The Court notes, on the one hand, the concerns about the lack of regulation in this area expressed by Lord </w:t>
      </w:r>
      <w:proofErr w:type="spellStart"/>
      <w:r w:rsidRPr="00670EC8">
        <w:rPr>
          <w:rFonts w:ascii="Calibri" w:hAnsi="Calibri"/>
          <w:i/>
          <w:sz w:val="24"/>
        </w:rPr>
        <w:t>Steyn</w:t>
      </w:r>
      <w:proofErr w:type="spellEnd"/>
      <w:r w:rsidRPr="00670EC8">
        <w:rPr>
          <w:rFonts w:ascii="Calibri" w:hAnsi="Calibri"/>
          <w:i/>
          <w:sz w:val="24"/>
        </w:rPr>
        <w:t xml:space="preserve"> [and others]. On the other hand, it has also noted the Government’s understandable concern to avoid the full, formal inflexible impact of the 1983 [Mental Health] Act. However, the current reform proposals set out to answer the above-mentioned concerns of the Government while at the same time making provision for detailed procedural regulation of the detention o</w:t>
      </w:r>
      <w:r w:rsidR="00670EC8" w:rsidRPr="00670EC8">
        <w:rPr>
          <w:rFonts w:ascii="Calibri" w:hAnsi="Calibri"/>
          <w:i/>
          <w:sz w:val="24"/>
        </w:rPr>
        <w:t>f incapacitated individuals.”</w:t>
      </w:r>
      <w:r w:rsidR="00670EC8" w:rsidRPr="00670EC8">
        <w:rPr>
          <w:rStyle w:val="FootnoteReference"/>
          <w:rFonts w:ascii="Calibri" w:hAnsi="Calibri"/>
          <w:i/>
          <w:sz w:val="24"/>
        </w:rPr>
        <w:footnoteReference w:id="45"/>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If the Government had started from the position that the proposed MCA detention powers would only apply to people who are compliant and whose mental incapacity is associated with significant cognitive impairment, it could then have asked both what was desirable to safeguard their interests and what was minimally necessary to comply with the Article 5 “in accordance with a procedure </w:t>
      </w:r>
      <w:r w:rsidR="00670EC8">
        <w:rPr>
          <w:rFonts w:ascii="Calibri" w:hAnsi="Calibri"/>
          <w:sz w:val="24"/>
        </w:rPr>
        <w:t>prescribed by law” requirement.</w:t>
      </w:r>
      <w:bookmarkStart w:id="0" w:name="_GoBack"/>
      <w:bookmarkEnd w:id="0"/>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aim is to ensure that decision-making which leads to an individual being deprived of liberty is not arbitrary. As was acknowledged by the </w:t>
      </w:r>
      <w:proofErr w:type="spellStart"/>
      <w:r w:rsidRPr="009D7F0A">
        <w:rPr>
          <w:rFonts w:ascii="Calibri" w:hAnsi="Calibri"/>
          <w:sz w:val="24"/>
        </w:rPr>
        <w:t>ECtHR</w:t>
      </w:r>
      <w:proofErr w:type="spellEnd"/>
      <w:r w:rsidRPr="009D7F0A">
        <w:rPr>
          <w:rFonts w:ascii="Calibri" w:hAnsi="Calibri"/>
          <w:sz w:val="24"/>
        </w:rPr>
        <w:t xml:space="preserve"> in </w:t>
      </w:r>
      <w:proofErr w:type="spellStart"/>
      <w:r w:rsidRPr="009D7F0A">
        <w:rPr>
          <w:rFonts w:ascii="Calibri" w:hAnsi="Calibri"/>
          <w:sz w:val="24"/>
        </w:rPr>
        <w:t>Bournewood</w:t>
      </w:r>
      <w:proofErr w:type="spellEnd"/>
      <w:r w:rsidRPr="009D7F0A">
        <w:rPr>
          <w:rFonts w:ascii="Calibri" w:hAnsi="Calibri"/>
          <w:sz w:val="24"/>
        </w:rPr>
        <w:t xml:space="preserve">, the decision-making framework of the MCA, as now enacted, goes considerably further than common law to reduce the risk of arbitrariness. If it were felt that decisions resulting in deprivation of liberty raise issues requiring special consideration, the provisions already enacted in section 6 of the MCA, which deal with restraint, provide a model for incorporating additional substantive safeguards in relation to decision-making under the MCA. Many of the points of criticism in the </w:t>
      </w:r>
      <w:proofErr w:type="spellStart"/>
      <w:r w:rsidRPr="009D7F0A">
        <w:rPr>
          <w:rFonts w:ascii="Calibri" w:hAnsi="Calibri"/>
          <w:sz w:val="24"/>
        </w:rPr>
        <w:t>ECtHR’s</w:t>
      </w:r>
      <w:proofErr w:type="spellEnd"/>
      <w:r w:rsidRPr="009D7F0A">
        <w:rPr>
          <w:rFonts w:ascii="Calibri" w:hAnsi="Calibri"/>
          <w:sz w:val="24"/>
        </w:rPr>
        <w:t xml:space="preserve"> judgment in </w:t>
      </w:r>
      <w:proofErr w:type="spellStart"/>
      <w:r w:rsidRPr="009D7F0A">
        <w:rPr>
          <w:rFonts w:ascii="Calibri" w:hAnsi="Calibri"/>
          <w:sz w:val="24"/>
        </w:rPr>
        <w:t>Bournewood</w:t>
      </w:r>
      <w:proofErr w:type="spellEnd"/>
      <w:r w:rsidRPr="009D7F0A">
        <w:rPr>
          <w:rFonts w:ascii="Calibri" w:hAnsi="Calibri"/>
          <w:sz w:val="24"/>
        </w:rPr>
        <w:t xml:space="preserve">, such as the exact purpose of admission and the requirement for a continuing clinical assessment of the persistence of a mental disorder, could be incorporated into the MCA by way of safeguards for decisions resulting in deprivation of liberty. Additional safeguards could include an explicit proportionality </w:t>
      </w:r>
      <w:r w:rsidRPr="009D7F0A">
        <w:rPr>
          <w:rFonts w:ascii="Calibri" w:hAnsi="Calibri"/>
          <w:sz w:val="24"/>
        </w:rPr>
        <w:lastRenderedPageBreak/>
        <w:t>requirement and other matters pertinent to such a decision. It is difficult to see that anything more is needed. Such matters would have to be considered as part of the decision-making process under the MCA which leads to the incapacitated person being placed in hospital or residential care and would be covered in the resulting care plan. There should not normally be any need for further medical or other assessments specifically for the purpos</w:t>
      </w:r>
      <w:r w:rsidR="00670EC8">
        <w:rPr>
          <w:rFonts w:ascii="Calibri" w:hAnsi="Calibri"/>
          <w:sz w:val="24"/>
        </w:rPr>
        <w:t>e of compliance with Article 5.</w:t>
      </w:r>
    </w:p>
    <w:p w:rsidR="003A01C1"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As to formal procedural safeguards, if the MCA deprivation of liberty regime were to be reserved for people with significant cognitive impairment who do not object to their care, less stringent and complex safeguards would be needed than those now proposed by the Government. There are only two essential requirements. First, to identify, record and notify the registration body whenever a mentally incapacitated person is being deprived of their liberty by a public authority in circumstances where the person is not objecting. If the legal test under the MCA for deprivation of liberty is whether they would be prevented from leaving the hospital or care home, this should present few difficulties to mental health professionals and care providers. The second requirement, in order to comply with Article 5(4) of the ECHR, is that the person deprived of liberty, or someone else on their behalf, must have the opportunity to challenge the deprivation of liberty by an application to the Court of Protection. This entails the appointment of a representative by a body which is independent of the place of detention. There would need to be a procedure for identifying the most suitable person to act as representative. This would usually, though not </w:t>
      </w:r>
      <w:r w:rsidR="00670EC8">
        <w:rPr>
          <w:rFonts w:ascii="Calibri" w:hAnsi="Calibri"/>
          <w:sz w:val="24"/>
        </w:rPr>
        <w:t>invariably, be a family member.</w:t>
      </w:r>
    </w:p>
    <w:p w:rsidR="003A01C1" w:rsidRPr="009D7F0A" w:rsidRDefault="003A01C1" w:rsidP="009D7F0A">
      <w:pPr>
        <w:suppressAutoHyphens/>
        <w:spacing w:after="120" w:line="240" w:lineRule="auto"/>
        <w:rPr>
          <w:rFonts w:ascii="Calibri" w:hAnsi="Calibri"/>
          <w:sz w:val="24"/>
        </w:rPr>
      </w:pPr>
    </w:p>
    <w:p w:rsidR="003A01C1" w:rsidRPr="00670EC8" w:rsidRDefault="00670EC8" w:rsidP="009D7F0A">
      <w:pPr>
        <w:suppressAutoHyphens/>
        <w:spacing w:after="120" w:line="240" w:lineRule="auto"/>
        <w:rPr>
          <w:rFonts w:ascii="Calibri" w:hAnsi="Calibri"/>
          <w:b/>
          <w:sz w:val="28"/>
        </w:rPr>
      </w:pPr>
      <w:r w:rsidRPr="00670EC8">
        <w:rPr>
          <w:rFonts w:ascii="Calibri" w:hAnsi="Calibri"/>
          <w:b/>
          <w:sz w:val="28"/>
        </w:rPr>
        <w:t>Conclusion</w:t>
      </w:r>
    </w:p>
    <w:p w:rsidR="00DF770F" w:rsidRPr="009D7F0A" w:rsidRDefault="003A01C1" w:rsidP="009D7F0A">
      <w:pPr>
        <w:suppressAutoHyphens/>
        <w:spacing w:after="120" w:line="240" w:lineRule="auto"/>
        <w:rPr>
          <w:rFonts w:ascii="Calibri" w:hAnsi="Calibri"/>
          <w:sz w:val="24"/>
        </w:rPr>
      </w:pPr>
      <w:r w:rsidRPr="009D7F0A">
        <w:rPr>
          <w:rFonts w:ascii="Calibri" w:hAnsi="Calibri"/>
          <w:sz w:val="24"/>
        </w:rPr>
        <w:t xml:space="preserve">The Government’s response to the problems thrown up by the </w:t>
      </w:r>
      <w:proofErr w:type="spellStart"/>
      <w:r w:rsidRPr="009D7F0A">
        <w:rPr>
          <w:rFonts w:ascii="Calibri" w:hAnsi="Calibri"/>
          <w:sz w:val="24"/>
        </w:rPr>
        <w:t>Bournewood</w:t>
      </w:r>
      <w:proofErr w:type="spellEnd"/>
      <w:r w:rsidRPr="009D7F0A">
        <w:rPr>
          <w:rFonts w:ascii="Calibri" w:hAnsi="Calibri"/>
          <w:sz w:val="24"/>
        </w:rPr>
        <w:t xml:space="preserve"> case in the </w:t>
      </w:r>
      <w:proofErr w:type="spellStart"/>
      <w:r w:rsidRPr="009D7F0A">
        <w:rPr>
          <w:rFonts w:ascii="Calibri" w:hAnsi="Calibri"/>
          <w:sz w:val="24"/>
        </w:rPr>
        <w:t>ECtHR</w:t>
      </w:r>
      <w:proofErr w:type="spellEnd"/>
      <w:r w:rsidRPr="009D7F0A">
        <w:rPr>
          <w:rFonts w:ascii="Calibri" w:hAnsi="Calibri"/>
          <w:sz w:val="24"/>
        </w:rPr>
        <w:t xml:space="preserve"> is limited and pragmatic. While recognising the necessity to regularise the legal position of people who are unlawfully being deprived of liberty under common law powers, it does not wish to extend the full MHA detention regime to everyone who may be deprived of liberty. It therefore proposes to fill the </w:t>
      </w:r>
      <w:proofErr w:type="spellStart"/>
      <w:r w:rsidRPr="009D7F0A">
        <w:rPr>
          <w:rFonts w:ascii="Calibri" w:hAnsi="Calibri"/>
          <w:sz w:val="24"/>
        </w:rPr>
        <w:t>Bournewood</w:t>
      </w:r>
      <w:proofErr w:type="spellEnd"/>
      <w:r w:rsidRPr="009D7F0A">
        <w:rPr>
          <w:rFonts w:ascii="Calibri" w:hAnsi="Calibri"/>
          <w:sz w:val="24"/>
        </w:rPr>
        <w:t xml:space="preserve"> gap but to leave the scope of MHA detention powers unchanged. There are serious disadvantages in approaching law reform in this way. Legislation which is not underpinned by clear principles and legal definitions is likely to result in unforeseen consequences, for example an increased number of detentions of compliant patients under the MHA. By failing to define who will come within the proposed new MCA provisions, it risks creating an unnecessarily complex and costly detention regime under the MCA with little discernible benefit to the people whose interests it is intended to protect.</w:t>
      </w:r>
    </w:p>
    <w:sectPr w:rsidR="00DF770F" w:rsidRPr="009D7F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0B" w:rsidRDefault="00E81F0B" w:rsidP="009D7F0A">
      <w:pPr>
        <w:spacing w:after="0" w:line="240" w:lineRule="auto"/>
      </w:pPr>
      <w:r>
        <w:separator/>
      </w:r>
    </w:p>
  </w:endnote>
  <w:endnote w:type="continuationSeparator" w:id="0">
    <w:p w:rsidR="00E81F0B" w:rsidRDefault="00E81F0B" w:rsidP="009D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0B" w:rsidRDefault="00E81F0B" w:rsidP="009D7F0A">
      <w:pPr>
        <w:spacing w:after="0" w:line="240" w:lineRule="auto"/>
      </w:pPr>
      <w:r>
        <w:separator/>
      </w:r>
    </w:p>
  </w:footnote>
  <w:footnote w:type="continuationSeparator" w:id="0">
    <w:p w:rsidR="00E81F0B" w:rsidRDefault="00E81F0B" w:rsidP="009D7F0A">
      <w:pPr>
        <w:spacing w:after="0" w:line="240" w:lineRule="auto"/>
      </w:pPr>
      <w:r>
        <w:continuationSeparator/>
      </w:r>
    </w:p>
  </w:footnote>
  <w:footnote w:id="1">
    <w:p w:rsidR="009D7F0A" w:rsidRPr="00670EC8" w:rsidRDefault="009D7F0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Solicitor, Scott–</w:t>
      </w:r>
      <w:proofErr w:type="spellStart"/>
      <w:r w:rsidRPr="00670EC8">
        <w:rPr>
          <w:rFonts w:ascii="Calibri" w:hAnsi="Calibri"/>
          <w:sz w:val="18"/>
        </w:rPr>
        <w:t>Moncreiff</w:t>
      </w:r>
      <w:proofErr w:type="spellEnd"/>
      <w:r w:rsidRPr="00670EC8">
        <w:rPr>
          <w:rFonts w:ascii="Calibri" w:hAnsi="Calibri"/>
          <w:sz w:val="18"/>
        </w:rPr>
        <w:t>, Harbour and Sinclair (London); Solicitor for HL.</w:t>
      </w:r>
    </w:p>
  </w:footnote>
  <w:footnote w:id="2">
    <w:p w:rsidR="009D7F0A" w:rsidRPr="00670EC8" w:rsidRDefault="009D7F0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Clause 38. In this article references to the Mental Health Bill are to the Bill, without amendments, as introduced in the House of Lords.</w:t>
      </w:r>
    </w:p>
  </w:footnote>
  <w:footnote w:id="3">
    <w:p w:rsidR="009D7F0A" w:rsidRPr="00670EC8" w:rsidRDefault="009D7F0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B92DEF">
        <w:rPr>
          <w:rFonts w:ascii="Calibri" w:hAnsi="Calibri"/>
          <w:i/>
          <w:sz w:val="18"/>
        </w:rPr>
        <w:t>HL v UK</w:t>
      </w:r>
      <w:r w:rsidRPr="00670EC8">
        <w:rPr>
          <w:rFonts w:ascii="Calibri" w:hAnsi="Calibri"/>
          <w:sz w:val="18"/>
        </w:rPr>
        <w:t xml:space="preserve"> (Application 45508/99), judgment was given on 5th October 2004. Reported as </w:t>
      </w:r>
      <w:r w:rsidRPr="00B92DEF">
        <w:rPr>
          <w:rFonts w:ascii="Calibri" w:hAnsi="Calibri"/>
          <w:i/>
          <w:sz w:val="18"/>
        </w:rPr>
        <w:t>HL v United Kingdom (2005) 40 EHRR 761</w:t>
      </w:r>
      <w:r w:rsidRPr="00670EC8">
        <w:rPr>
          <w:rFonts w:ascii="Calibri" w:hAnsi="Calibri"/>
          <w:sz w:val="18"/>
        </w:rPr>
        <w:t>.</w:t>
      </w:r>
    </w:p>
  </w:footnote>
  <w:footnote w:id="4">
    <w:p w:rsidR="009D7F0A" w:rsidRPr="00670EC8" w:rsidRDefault="009D7F0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This phrase was first coined following the judgment of the House of Lords in the </w:t>
      </w:r>
      <w:proofErr w:type="spellStart"/>
      <w:r w:rsidRPr="00670EC8">
        <w:rPr>
          <w:rFonts w:ascii="Calibri" w:hAnsi="Calibri"/>
          <w:sz w:val="18"/>
        </w:rPr>
        <w:t>Bournewood</w:t>
      </w:r>
      <w:proofErr w:type="spellEnd"/>
      <w:r w:rsidRPr="00670EC8">
        <w:rPr>
          <w:rFonts w:ascii="Calibri" w:hAnsi="Calibri"/>
          <w:sz w:val="18"/>
        </w:rPr>
        <w:t xml:space="preserve"> case (</w:t>
      </w:r>
      <w:r w:rsidRPr="00B92DEF">
        <w:rPr>
          <w:rFonts w:ascii="Calibri" w:hAnsi="Calibri"/>
          <w:i/>
          <w:sz w:val="18"/>
        </w:rPr>
        <w:t xml:space="preserve">R v </w:t>
      </w:r>
      <w:proofErr w:type="spellStart"/>
      <w:r w:rsidRPr="00B92DEF">
        <w:rPr>
          <w:rFonts w:ascii="Calibri" w:hAnsi="Calibri"/>
          <w:i/>
          <w:sz w:val="18"/>
        </w:rPr>
        <w:t>Bournewood</w:t>
      </w:r>
      <w:proofErr w:type="spellEnd"/>
      <w:r w:rsidRPr="00B92DEF">
        <w:rPr>
          <w:rFonts w:ascii="Calibri" w:hAnsi="Calibri"/>
          <w:i/>
          <w:sz w:val="18"/>
        </w:rPr>
        <w:t xml:space="preserve"> Community and Mental Health NHS Trust Ex p. L [1998] 3 All. ER 289</w:t>
      </w:r>
      <w:r w:rsidRPr="00670EC8">
        <w:rPr>
          <w:rFonts w:ascii="Calibri" w:hAnsi="Calibri"/>
          <w:sz w:val="18"/>
        </w:rPr>
        <w:t xml:space="preserve">) where in his speech Lord </w:t>
      </w:r>
      <w:proofErr w:type="spellStart"/>
      <w:r w:rsidRPr="00670EC8">
        <w:rPr>
          <w:rFonts w:ascii="Calibri" w:hAnsi="Calibri"/>
          <w:sz w:val="18"/>
        </w:rPr>
        <w:t>Steyn</w:t>
      </w:r>
      <w:proofErr w:type="spellEnd"/>
      <w:r w:rsidRPr="00670EC8">
        <w:rPr>
          <w:rFonts w:ascii="Calibri" w:hAnsi="Calibri"/>
          <w:sz w:val="18"/>
        </w:rPr>
        <w:t xml:space="preserve"> had commented adversely on the denial of the safeguards of the Mental Health Act 1983 to compliant incapacitated psychiatric patients. Following the later judgment of the European Court of Human Rights in the case, it is now used to refer to the denial of Article 5 safeguards, whether in hospitals or care homes.</w:t>
      </w:r>
    </w:p>
  </w:footnote>
  <w:footnote w:id="5">
    <w:p w:rsidR="008F0F0B" w:rsidRPr="00670EC8" w:rsidRDefault="008F0F0B"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Baroness Ashton of </w:t>
      </w:r>
      <w:proofErr w:type="spellStart"/>
      <w:r w:rsidRPr="00670EC8">
        <w:rPr>
          <w:rFonts w:ascii="Calibri" w:hAnsi="Calibri"/>
          <w:sz w:val="18"/>
        </w:rPr>
        <w:t>Upholland</w:t>
      </w:r>
      <w:proofErr w:type="spellEnd"/>
      <w:r w:rsidRPr="00670EC8">
        <w:rPr>
          <w:rFonts w:ascii="Calibri" w:hAnsi="Calibri"/>
          <w:sz w:val="18"/>
        </w:rPr>
        <w:t xml:space="preserve">, House of Lords </w:t>
      </w:r>
      <w:proofErr w:type="spellStart"/>
      <w:r w:rsidRPr="00670EC8">
        <w:rPr>
          <w:rFonts w:ascii="Calibri" w:hAnsi="Calibri"/>
          <w:sz w:val="18"/>
        </w:rPr>
        <w:t>Hansard</w:t>
      </w:r>
      <w:proofErr w:type="spellEnd"/>
      <w:r w:rsidRPr="00670EC8">
        <w:rPr>
          <w:rFonts w:ascii="Calibri" w:hAnsi="Calibri"/>
          <w:sz w:val="18"/>
        </w:rPr>
        <w:t>,</w:t>
      </w:r>
      <w:r w:rsidR="00843D66" w:rsidRPr="00670EC8">
        <w:rPr>
          <w:rFonts w:ascii="Calibri" w:hAnsi="Calibri"/>
          <w:sz w:val="18"/>
        </w:rPr>
        <w:t xml:space="preserve"> 17th January 2007, column 763.</w:t>
      </w:r>
    </w:p>
  </w:footnote>
  <w:footnote w:id="6">
    <w:p w:rsidR="00843D66" w:rsidRPr="00670EC8" w:rsidRDefault="00843D66"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proofErr w:type="spellStart"/>
      <w:r w:rsidRPr="005615FE">
        <w:rPr>
          <w:rFonts w:ascii="Calibri" w:hAnsi="Calibri"/>
          <w:i/>
          <w:sz w:val="18"/>
        </w:rPr>
        <w:t>Bournewood</w:t>
      </w:r>
      <w:proofErr w:type="spellEnd"/>
      <w:r w:rsidRPr="005615FE">
        <w:rPr>
          <w:rFonts w:ascii="Calibri" w:hAnsi="Calibri"/>
          <w:i/>
          <w:sz w:val="18"/>
        </w:rPr>
        <w:t xml:space="preserve"> Briefing Sheet</w:t>
      </w:r>
      <w:r w:rsidRPr="00670EC8">
        <w:rPr>
          <w:rFonts w:ascii="Calibri" w:hAnsi="Calibri"/>
          <w:sz w:val="18"/>
        </w:rPr>
        <w:t>, Department of Health – November 2006.</w:t>
      </w:r>
    </w:p>
  </w:footnote>
  <w:footnote w:id="7">
    <w:p w:rsidR="00843D66" w:rsidRPr="00670EC8" w:rsidRDefault="00843D66"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84436A">
        <w:rPr>
          <w:rFonts w:ascii="Calibri" w:hAnsi="Calibri"/>
          <w:i/>
          <w:sz w:val="18"/>
        </w:rPr>
        <w:t>JE and DE v Surrey County Council and EW [2006] EWHC 3495 (</w:t>
      </w:r>
      <w:proofErr w:type="spellStart"/>
      <w:r w:rsidRPr="0084436A">
        <w:rPr>
          <w:rFonts w:ascii="Calibri" w:hAnsi="Calibri"/>
          <w:i/>
          <w:sz w:val="18"/>
        </w:rPr>
        <w:t>Fam</w:t>
      </w:r>
      <w:proofErr w:type="spellEnd"/>
      <w:r w:rsidRPr="0084436A">
        <w:rPr>
          <w:rFonts w:ascii="Calibri" w:hAnsi="Calibri"/>
          <w:i/>
          <w:sz w:val="18"/>
        </w:rPr>
        <w:t>)</w:t>
      </w:r>
      <w:r w:rsidRPr="00670EC8">
        <w:rPr>
          <w:rFonts w:ascii="Calibri" w:hAnsi="Calibri"/>
          <w:sz w:val="18"/>
        </w:rPr>
        <w:t>.</w:t>
      </w:r>
    </w:p>
  </w:footnote>
  <w:footnote w:id="8">
    <w:p w:rsidR="008E1991" w:rsidRPr="00670EC8" w:rsidRDefault="008E1991" w:rsidP="00670EC8">
      <w:pPr>
        <w:suppressAutoHyphens/>
        <w:spacing w:after="120" w:line="240" w:lineRule="auto"/>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See also Lucy Scott-Moncrieff “Two steps forward, one</w:t>
      </w:r>
      <w:r w:rsidR="0084436A">
        <w:rPr>
          <w:rFonts w:ascii="Calibri" w:hAnsi="Calibri"/>
          <w:sz w:val="18"/>
        </w:rPr>
        <w:t xml:space="preserve"> </w:t>
      </w:r>
      <w:r w:rsidRPr="00670EC8">
        <w:rPr>
          <w:rFonts w:ascii="Calibri" w:hAnsi="Calibri"/>
          <w:sz w:val="18"/>
        </w:rPr>
        <w:t xml:space="preserve">step back”, in this issue of the </w:t>
      </w:r>
      <w:r w:rsidRPr="0084436A">
        <w:rPr>
          <w:rFonts w:ascii="Calibri" w:hAnsi="Calibri"/>
          <w:i/>
          <w:sz w:val="18"/>
        </w:rPr>
        <w:t>Journal of Mental Health</w:t>
      </w:r>
      <w:r w:rsidR="0084436A" w:rsidRPr="0084436A">
        <w:rPr>
          <w:rFonts w:ascii="Calibri" w:hAnsi="Calibri"/>
          <w:i/>
          <w:sz w:val="18"/>
        </w:rPr>
        <w:t xml:space="preserve"> </w:t>
      </w:r>
      <w:r w:rsidRPr="0084436A">
        <w:rPr>
          <w:rFonts w:ascii="Calibri" w:hAnsi="Calibri"/>
          <w:i/>
          <w:sz w:val="18"/>
        </w:rPr>
        <w:t>Law</w:t>
      </w:r>
      <w:r w:rsidRPr="00670EC8">
        <w:rPr>
          <w:rFonts w:ascii="Calibri" w:hAnsi="Calibri"/>
          <w:sz w:val="18"/>
        </w:rPr>
        <w:t>.</w:t>
      </w:r>
    </w:p>
  </w:footnote>
  <w:footnote w:id="9">
    <w:p w:rsidR="008E1991" w:rsidRPr="00670EC8" w:rsidRDefault="008E1991"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84436A">
        <w:rPr>
          <w:rFonts w:ascii="Calibri" w:hAnsi="Calibri"/>
          <w:i/>
          <w:sz w:val="18"/>
        </w:rPr>
        <w:t xml:space="preserve">The </w:t>
      </w:r>
      <w:proofErr w:type="spellStart"/>
      <w:r w:rsidRPr="0084436A">
        <w:rPr>
          <w:rFonts w:ascii="Calibri" w:hAnsi="Calibri"/>
          <w:i/>
          <w:sz w:val="18"/>
        </w:rPr>
        <w:t>Bournewood</w:t>
      </w:r>
      <w:proofErr w:type="spellEnd"/>
      <w:r w:rsidRPr="0084436A">
        <w:rPr>
          <w:rFonts w:ascii="Calibri" w:hAnsi="Calibri"/>
          <w:i/>
          <w:sz w:val="18"/>
        </w:rPr>
        <w:t xml:space="preserve"> Safeguards: Draft Illustrative Code of</w:t>
      </w:r>
      <w:r w:rsidR="0084436A" w:rsidRPr="0084436A">
        <w:rPr>
          <w:rFonts w:ascii="Calibri" w:hAnsi="Calibri"/>
          <w:i/>
          <w:sz w:val="18"/>
        </w:rPr>
        <w:t xml:space="preserve"> </w:t>
      </w:r>
      <w:r w:rsidRPr="0084436A">
        <w:rPr>
          <w:rFonts w:ascii="Calibri" w:hAnsi="Calibri"/>
          <w:i/>
          <w:sz w:val="18"/>
        </w:rPr>
        <w:t>Practice</w:t>
      </w:r>
      <w:r w:rsidRPr="00670EC8">
        <w:rPr>
          <w:rFonts w:ascii="Calibri" w:hAnsi="Calibri"/>
          <w:sz w:val="18"/>
        </w:rPr>
        <w:t>, paragraphs 140-141, published 22.12.06.</w:t>
      </w:r>
    </w:p>
  </w:footnote>
  <w:footnote w:id="10">
    <w:p w:rsidR="008E1991" w:rsidRPr="00670EC8" w:rsidRDefault="008E1991"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E77E92">
        <w:rPr>
          <w:rFonts w:ascii="Calibri" w:hAnsi="Calibri"/>
          <w:i/>
          <w:sz w:val="18"/>
        </w:rPr>
        <w:t>Report of the Royal Commission on Lunacy and Mental Disorder</w:t>
      </w:r>
      <w:r w:rsidRPr="00670EC8">
        <w:rPr>
          <w:rFonts w:ascii="Calibri" w:hAnsi="Calibri"/>
          <w:sz w:val="18"/>
        </w:rPr>
        <w:t xml:space="preserve"> Cmd. 2700.</w:t>
      </w:r>
    </w:p>
  </w:footnote>
  <w:footnote w:id="11">
    <w:p w:rsidR="008E1991" w:rsidRPr="00670EC8" w:rsidRDefault="008E1991"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000B7A2C" w:rsidRPr="00E77E92">
        <w:rPr>
          <w:rFonts w:ascii="Calibri" w:hAnsi="Calibri"/>
          <w:i/>
          <w:sz w:val="18"/>
        </w:rPr>
        <w:t>Report of the Royal Commission on the Law Relating to Mental Illness and Mental Deficiency 1954 – 1957</w:t>
      </w:r>
      <w:r w:rsidR="000B7A2C" w:rsidRPr="00670EC8">
        <w:rPr>
          <w:rFonts w:ascii="Calibri" w:hAnsi="Calibri"/>
          <w:sz w:val="18"/>
        </w:rPr>
        <w:t xml:space="preserve">. </w:t>
      </w:r>
      <w:proofErr w:type="spellStart"/>
      <w:r w:rsidR="000B7A2C" w:rsidRPr="00670EC8">
        <w:rPr>
          <w:rFonts w:ascii="Calibri" w:hAnsi="Calibri"/>
          <w:sz w:val="18"/>
        </w:rPr>
        <w:t>Cmnd</w:t>
      </w:r>
      <w:proofErr w:type="spellEnd"/>
      <w:r w:rsidR="000B7A2C" w:rsidRPr="00670EC8">
        <w:rPr>
          <w:rFonts w:ascii="Calibri" w:hAnsi="Calibri"/>
          <w:sz w:val="18"/>
        </w:rPr>
        <w:t>. 169.</w:t>
      </w:r>
    </w:p>
  </w:footnote>
  <w:footnote w:id="12">
    <w:p w:rsidR="000B7A2C" w:rsidRPr="00670EC8" w:rsidRDefault="000B7A2C"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paragraph 218.</w:t>
      </w:r>
    </w:p>
  </w:footnote>
  <w:footnote w:id="13">
    <w:p w:rsidR="000B7A2C" w:rsidRPr="00670EC8" w:rsidRDefault="000B7A2C"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paragraph 291.</w:t>
      </w:r>
    </w:p>
  </w:footnote>
  <w:footnote w:id="14">
    <w:p w:rsidR="000B7A2C" w:rsidRPr="00670EC8" w:rsidRDefault="000B7A2C"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paragraph 300.</w:t>
      </w:r>
    </w:p>
  </w:footnote>
  <w:footnote w:id="15">
    <w:p w:rsidR="000B7A2C" w:rsidRPr="00670EC8" w:rsidRDefault="000B7A2C"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0961A6">
        <w:rPr>
          <w:rFonts w:ascii="Calibri" w:hAnsi="Calibri"/>
          <w:i/>
          <w:sz w:val="18"/>
        </w:rPr>
        <w:t>Code of Practice Mental Health Act 1983</w:t>
      </w:r>
      <w:r w:rsidRPr="00670EC8">
        <w:rPr>
          <w:rFonts w:ascii="Calibri" w:hAnsi="Calibri"/>
          <w:sz w:val="18"/>
        </w:rPr>
        <w:t>, Department of Health and Welsh Office, 1999.</w:t>
      </w:r>
    </w:p>
  </w:footnote>
  <w:footnote w:id="16">
    <w:p w:rsidR="000B7A2C" w:rsidRPr="00670EC8" w:rsidRDefault="000B7A2C"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0961A6">
        <w:rPr>
          <w:rFonts w:ascii="Calibri" w:hAnsi="Calibri"/>
          <w:i/>
          <w:sz w:val="18"/>
        </w:rPr>
        <w:t xml:space="preserve">R v </w:t>
      </w:r>
      <w:proofErr w:type="spellStart"/>
      <w:r w:rsidRPr="000961A6">
        <w:rPr>
          <w:rFonts w:ascii="Calibri" w:hAnsi="Calibri"/>
          <w:i/>
          <w:sz w:val="18"/>
        </w:rPr>
        <w:t>Bournewood</w:t>
      </w:r>
      <w:proofErr w:type="spellEnd"/>
      <w:r w:rsidRPr="000961A6">
        <w:rPr>
          <w:rFonts w:ascii="Calibri" w:hAnsi="Calibri"/>
          <w:i/>
          <w:sz w:val="18"/>
        </w:rPr>
        <w:t xml:space="preserve"> Community and Mental Health NHS Trust Ex p. L [1998] 3 All. ER 289</w:t>
      </w:r>
      <w:r w:rsidRPr="00670EC8">
        <w:rPr>
          <w:rFonts w:ascii="Calibri" w:hAnsi="Calibri"/>
          <w:sz w:val="18"/>
        </w:rPr>
        <w:t>.</w:t>
      </w:r>
    </w:p>
  </w:footnote>
  <w:footnote w:id="17">
    <w:p w:rsidR="006D5D9E" w:rsidRPr="00670EC8" w:rsidRDefault="006D5D9E" w:rsidP="00670EC8">
      <w:pPr>
        <w:suppressAutoHyphens/>
        <w:spacing w:after="120" w:line="240" w:lineRule="auto"/>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See Paragraph 295 of the revised Mental Health Act 1983 Memorandum on Parts I to VI, VIII and X, Department</w:t>
      </w:r>
      <w:r w:rsidR="0084436A">
        <w:rPr>
          <w:rFonts w:ascii="Calibri" w:hAnsi="Calibri"/>
          <w:sz w:val="18"/>
        </w:rPr>
        <w:t xml:space="preserve"> </w:t>
      </w:r>
      <w:r w:rsidRPr="00670EC8">
        <w:rPr>
          <w:rFonts w:ascii="Calibri" w:hAnsi="Calibri"/>
          <w:sz w:val="18"/>
        </w:rPr>
        <w:t>of Health, 1998, and Para 2.7 of the 1999 revision of the</w:t>
      </w:r>
      <w:r w:rsidR="0084436A">
        <w:rPr>
          <w:rFonts w:ascii="Calibri" w:hAnsi="Calibri"/>
          <w:sz w:val="18"/>
        </w:rPr>
        <w:t xml:space="preserve"> </w:t>
      </w:r>
      <w:r w:rsidRPr="00670EC8">
        <w:rPr>
          <w:rFonts w:ascii="Calibri" w:hAnsi="Calibri"/>
          <w:sz w:val="18"/>
        </w:rPr>
        <w:t>MHA Code of Practice.</w:t>
      </w:r>
    </w:p>
  </w:footnote>
  <w:footnote w:id="18">
    <w:p w:rsidR="006D5D9E" w:rsidRPr="00670EC8" w:rsidRDefault="006D5D9E" w:rsidP="00670EC8">
      <w:pPr>
        <w:suppressAutoHyphens/>
        <w:spacing w:after="120" w:line="240" w:lineRule="auto"/>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C60A7D">
        <w:rPr>
          <w:rFonts w:ascii="Calibri" w:hAnsi="Calibri"/>
          <w:i/>
          <w:sz w:val="18"/>
        </w:rPr>
        <w:t xml:space="preserve">R v </w:t>
      </w:r>
      <w:proofErr w:type="spellStart"/>
      <w:r w:rsidRPr="00C60A7D">
        <w:rPr>
          <w:rFonts w:ascii="Calibri" w:hAnsi="Calibri"/>
          <w:i/>
          <w:sz w:val="18"/>
        </w:rPr>
        <w:t>Bournewood</w:t>
      </w:r>
      <w:proofErr w:type="spellEnd"/>
      <w:r w:rsidRPr="00C60A7D">
        <w:rPr>
          <w:rFonts w:ascii="Calibri" w:hAnsi="Calibri"/>
          <w:i/>
          <w:sz w:val="18"/>
        </w:rPr>
        <w:t xml:space="preserve"> Community and Mental Health NHS</w:t>
      </w:r>
      <w:r w:rsidR="0084436A" w:rsidRPr="00C60A7D">
        <w:rPr>
          <w:rFonts w:ascii="Calibri" w:hAnsi="Calibri"/>
          <w:i/>
          <w:sz w:val="18"/>
        </w:rPr>
        <w:t xml:space="preserve"> </w:t>
      </w:r>
      <w:r w:rsidRPr="00C60A7D">
        <w:rPr>
          <w:rFonts w:ascii="Calibri" w:hAnsi="Calibri"/>
          <w:i/>
          <w:sz w:val="18"/>
        </w:rPr>
        <w:t>Trust, ex parte L [1998]1 All ER 634</w:t>
      </w:r>
      <w:r w:rsidRPr="00670EC8">
        <w:rPr>
          <w:rFonts w:ascii="Calibri" w:hAnsi="Calibri"/>
          <w:sz w:val="18"/>
        </w:rPr>
        <w:t xml:space="preserve"> at page 639.</w:t>
      </w:r>
    </w:p>
  </w:footnote>
  <w:footnote w:id="19">
    <w:p w:rsidR="006D5D9E" w:rsidRPr="00670EC8" w:rsidRDefault="006D5D9E"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C60A7D">
        <w:rPr>
          <w:rFonts w:ascii="Calibri" w:hAnsi="Calibri"/>
          <w:i/>
          <w:sz w:val="18"/>
        </w:rPr>
        <w:t xml:space="preserve">R v </w:t>
      </w:r>
      <w:proofErr w:type="spellStart"/>
      <w:r w:rsidRPr="00C60A7D">
        <w:rPr>
          <w:rFonts w:ascii="Calibri" w:hAnsi="Calibri"/>
          <w:i/>
          <w:sz w:val="18"/>
        </w:rPr>
        <w:t>Bournewood</w:t>
      </w:r>
      <w:proofErr w:type="spellEnd"/>
      <w:r w:rsidRPr="00C60A7D">
        <w:rPr>
          <w:rFonts w:ascii="Calibri" w:hAnsi="Calibri"/>
          <w:i/>
          <w:sz w:val="18"/>
        </w:rPr>
        <w:t xml:space="preserve"> Community and Mental Health NHS Trust, ex parte L (Secretary of State for Health and others intervening) [1998] 3 All ER 289</w:t>
      </w:r>
      <w:r w:rsidRPr="00670EC8">
        <w:rPr>
          <w:rFonts w:ascii="Calibri" w:hAnsi="Calibri"/>
          <w:sz w:val="18"/>
        </w:rPr>
        <w:t xml:space="preserve"> at page 302.</w:t>
      </w:r>
    </w:p>
  </w:footnote>
  <w:footnote w:id="20">
    <w:p w:rsidR="006D5D9E" w:rsidRPr="00670EC8" w:rsidRDefault="006D5D9E"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at page 307.</w:t>
      </w:r>
    </w:p>
  </w:footnote>
  <w:footnote w:id="21">
    <w:p w:rsidR="006D5D9E" w:rsidRPr="00670EC8" w:rsidRDefault="006D5D9E" w:rsidP="00670EC8">
      <w:pPr>
        <w:suppressAutoHyphens/>
        <w:spacing w:after="120" w:line="240" w:lineRule="auto"/>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C60A7D">
        <w:rPr>
          <w:rFonts w:ascii="Calibri" w:hAnsi="Calibri"/>
          <w:i/>
          <w:sz w:val="18"/>
        </w:rPr>
        <w:t>HL v United Kingdom (2005) 40 EHRR 761</w:t>
      </w:r>
      <w:r w:rsidRPr="00670EC8">
        <w:rPr>
          <w:rFonts w:ascii="Calibri" w:hAnsi="Calibri"/>
          <w:sz w:val="18"/>
        </w:rPr>
        <w:t>, at pages</w:t>
      </w:r>
      <w:r w:rsidR="0084436A">
        <w:rPr>
          <w:rFonts w:ascii="Calibri" w:hAnsi="Calibri"/>
          <w:sz w:val="18"/>
        </w:rPr>
        <w:t xml:space="preserve"> </w:t>
      </w:r>
      <w:r w:rsidRPr="00670EC8">
        <w:rPr>
          <w:rFonts w:ascii="Calibri" w:hAnsi="Calibri"/>
          <w:sz w:val="18"/>
        </w:rPr>
        <w:t>792 – 793.</w:t>
      </w:r>
    </w:p>
  </w:footnote>
  <w:footnote w:id="22">
    <w:p w:rsidR="0051233C" w:rsidRPr="00670EC8" w:rsidRDefault="0051233C"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page 800.</w:t>
      </w:r>
    </w:p>
  </w:footnote>
  <w:footnote w:id="23">
    <w:p w:rsidR="00EC5DD6" w:rsidRPr="00670EC8" w:rsidRDefault="00EC5DD6"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The relevant exclusion is to be found in clause 2 of the Mental Health Bill which defines learning disability as a state of arrested or incomplete development of mind which includes significant impairment of intelligence and social functioning. It further provides that in relation to detention for treatment a person shall not be considered by reason of that disability to be suffering from mental disorder “unless that disability is associated with abnormally aggressive or seriously irresponsible conduct”. The effect of disregarding this exclusion is that people with learning disability who are excluded from detention under treatment sections of the MHA will be detainable under the MCA if they lack capacity.</w:t>
      </w:r>
    </w:p>
  </w:footnote>
  <w:footnote w:id="24">
    <w:p w:rsidR="00A11EBE" w:rsidRPr="00670EC8" w:rsidRDefault="00A11EBE"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proofErr w:type="spellStart"/>
      <w:r w:rsidRPr="00C71561">
        <w:rPr>
          <w:rFonts w:ascii="Calibri" w:hAnsi="Calibri"/>
          <w:i/>
          <w:sz w:val="18"/>
        </w:rPr>
        <w:t>Winterwerp</w:t>
      </w:r>
      <w:proofErr w:type="spellEnd"/>
      <w:r w:rsidRPr="00C71561">
        <w:rPr>
          <w:rFonts w:ascii="Calibri" w:hAnsi="Calibri"/>
          <w:i/>
          <w:sz w:val="18"/>
        </w:rPr>
        <w:t xml:space="preserve"> v Netherlands (1979-80) 2 EHRR 387</w:t>
      </w:r>
      <w:r w:rsidRPr="00670EC8">
        <w:rPr>
          <w:rFonts w:ascii="Calibri" w:hAnsi="Calibri"/>
          <w:sz w:val="18"/>
        </w:rPr>
        <w:t>.</w:t>
      </w:r>
    </w:p>
  </w:footnote>
  <w:footnote w:id="25">
    <w:p w:rsidR="00A11EBE" w:rsidRPr="00670EC8" w:rsidRDefault="00A11EBE"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The Bill does not prescribe which of the other requirements each of the assessments must cover, provided that taken together they cover all the requirements.</w:t>
      </w:r>
    </w:p>
  </w:footnote>
  <w:footnote w:id="26">
    <w:p w:rsidR="00A11EBE" w:rsidRPr="00670EC8" w:rsidRDefault="00A11EBE"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The patient’s representative is distinct from the Independent Mental Capacity Advocate (IMCA) who under the MCA will be appointed in certain circumstances where there is no family member or carer to consult in relation to decisions affecting a mentally incapacitated person.</w:t>
      </w:r>
    </w:p>
  </w:footnote>
  <w:footnote w:id="27">
    <w:p w:rsidR="00A11EBE" w:rsidRPr="00670EC8" w:rsidRDefault="00A11EBE"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4A7C1A">
        <w:rPr>
          <w:rFonts w:ascii="Calibri" w:hAnsi="Calibri"/>
          <w:i/>
          <w:sz w:val="18"/>
        </w:rPr>
        <w:t xml:space="preserve">The </w:t>
      </w:r>
      <w:proofErr w:type="spellStart"/>
      <w:r w:rsidRPr="004A7C1A">
        <w:rPr>
          <w:rFonts w:ascii="Calibri" w:hAnsi="Calibri"/>
          <w:i/>
          <w:sz w:val="18"/>
        </w:rPr>
        <w:t>Bournewood</w:t>
      </w:r>
      <w:proofErr w:type="spellEnd"/>
      <w:r w:rsidRPr="004A7C1A">
        <w:rPr>
          <w:rFonts w:ascii="Calibri" w:hAnsi="Calibri"/>
          <w:i/>
          <w:sz w:val="18"/>
        </w:rPr>
        <w:t xml:space="preserve"> Safeguards: Draft Illustrative Code of Practice</w:t>
      </w:r>
      <w:r w:rsidRPr="00670EC8">
        <w:rPr>
          <w:rFonts w:ascii="Calibri" w:hAnsi="Calibri"/>
          <w:sz w:val="18"/>
        </w:rPr>
        <w:t>, paragraphs 140-141, published 22.12.06.</w:t>
      </w:r>
    </w:p>
  </w:footnote>
  <w:footnote w:id="28">
    <w:p w:rsidR="00A91597" w:rsidRPr="00670EC8" w:rsidRDefault="00A91597"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Mental Health Bill, Schedule 8 para 10(5).</w:t>
      </w:r>
    </w:p>
  </w:footnote>
  <w:footnote w:id="29">
    <w:p w:rsidR="00A91597" w:rsidRPr="00670EC8" w:rsidRDefault="00A91597" w:rsidP="00670EC8">
      <w:pPr>
        <w:suppressAutoHyphens/>
        <w:spacing w:after="120" w:line="240" w:lineRule="auto"/>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4A7C1A">
        <w:rPr>
          <w:rFonts w:ascii="Calibri" w:hAnsi="Calibri"/>
          <w:i/>
          <w:sz w:val="18"/>
        </w:rPr>
        <w:t xml:space="preserve">The </w:t>
      </w:r>
      <w:proofErr w:type="spellStart"/>
      <w:r w:rsidRPr="004A7C1A">
        <w:rPr>
          <w:rFonts w:ascii="Calibri" w:hAnsi="Calibri"/>
          <w:i/>
          <w:sz w:val="18"/>
        </w:rPr>
        <w:t>Bournewood</w:t>
      </w:r>
      <w:proofErr w:type="spellEnd"/>
      <w:r w:rsidRPr="004A7C1A">
        <w:rPr>
          <w:rFonts w:ascii="Calibri" w:hAnsi="Calibri"/>
          <w:i/>
          <w:sz w:val="18"/>
        </w:rPr>
        <w:t xml:space="preserve"> Safeguards: Draft Illustrative Code of Practice</w:t>
      </w:r>
      <w:r w:rsidRPr="00670EC8">
        <w:rPr>
          <w:rFonts w:ascii="Calibri" w:hAnsi="Calibri"/>
          <w:sz w:val="18"/>
        </w:rPr>
        <w:t>, Para 8.</w:t>
      </w:r>
    </w:p>
  </w:footnote>
  <w:footnote w:id="30">
    <w:p w:rsidR="00A91597" w:rsidRPr="00670EC8" w:rsidRDefault="00A91597"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para 9.</w:t>
      </w:r>
    </w:p>
  </w:footnote>
  <w:footnote w:id="31">
    <w:p w:rsidR="00A91597" w:rsidRPr="00670EC8" w:rsidRDefault="00A91597"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para 11.</w:t>
      </w:r>
    </w:p>
  </w:footnote>
  <w:footnote w:id="32">
    <w:p w:rsidR="00A91597" w:rsidRPr="00670EC8" w:rsidRDefault="00A91597"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para 28.</w:t>
      </w:r>
    </w:p>
  </w:footnote>
  <w:footnote w:id="33">
    <w:p w:rsidR="00A91597" w:rsidRPr="00670EC8" w:rsidRDefault="00A91597"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001E4CCD" w:rsidRPr="00670EC8">
        <w:rPr>
          <w:rFonts w:ascii="Calibri" w:hAnsi="Calibri"/>
          <w:sz w:val="18"/>
        </w:rPr>
        <w:t xml:space="preserve">Joint Committee on Human Rights, </w:t>
      </w:r>
      <w:r w:rsidR="001E4CCD" w:rsidRPr="00996B68">
        <w:rPr>
          <w:rFonts w:ascii="Calibri" w:hAnsi="Calibri"/>
          <w:i/>
          <w:sz w:val="18"/>
        </w:rPr>
        <w:t>Legislative Scrutiny: Mental Health Bill</w:t>
      </w:r>
      <w:r w:rsidR="001E4CCD" w:rsidRPr="00670EC8">
        <w:rPr>
          <w:rFonts w:ascii="Calibri" w:hAnsi="Calibri"/>
          <w:sz w:val="18"/>
        </w:rPr>
        <w:t>, Fourth Report of Session 2006-07,</w:t>
      </w:r>
      <w:r w:rsidR="0084436A">
        <w:rPr>
          <w:rFonts w:ascii="Calibri" w:hAnsi="Calibri"/>
          <w:sz w:val="18"/>
        </w:rPr>
        <w:t xml:space="preserve"> </w:t>
      </w:r>
      <w:r w:rsidR="001E4CCD" w:rsidRPr="00670EC8">
        <w:rPr>
          <w:rFonts w:ascii="Calibri" w:hAnsi="Calibri"/>
          <w:sz w:val="18"/>
        </w:rPr>
        <w:t>HL Paper 40 HC 288 (published 4th February 2007).</w:t>
      </w:r>
    </w:p>
  </w:footnote>
  <w:footnote w:id="34">
    <w:p w:rsidR="001E4CCD" w:rsidRPr="00670EC8" w:rsidRDefault="001E4CCD"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996B68">
        <w:rPr>
          <w:rFonts w:ascii="Calibri" w:hAnsi="Calibri"/>
          <w:i/>
          <w:sz w:val="18"/>
        </w:rPr>
        <w:t>[2006] EWHC 3495 (</w:t>
      </w:r>
      <w:proofErr w:type="spellStart"/>
      <w:r w:rsidRPr="00996B68">
        <w:rPr>
          <w:rFonts w:ascii="Calibri" w:hAnsi="Calibri"/>
          <w:i/>
          <w:sz w:val="18"/>
        </w:rPr>
        <w:t>Fam</w:t>
      </w:r>
      <w:proofErr w:type="spellEnd"/>
      <w:r w:rsidRPr="00996B68">
        <w:rPr>
          <w:rFonts w:ascii="Calibri" w:hAnsi="Calibri"/>
          <w:i/>
          <w:sz w:val="18"/>
        </w:rPr>
        <w:t>)</w:t>
      </w:r>
      <w:r w:rsidRPr="00670EC8">
        <w:rPr>
          <w:rFonts w:ascii="Calibri" w:hAnsi="Calibri"/>
          <w:sz w:val="18"/>
        </w:rPr>
        <w:t>.</w:t>
      </w:r>
    </w:p>
  </w:footnote>
  <w:footnote w:id="35">
    <w:p w:rsidR="001E4CCD" w:rsidRPr="00670EC8" w:rsidRDefault="001E4CCD"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Ibid page 30.</w:t>
      </w:r>
    </w:p>
  </w:footnote>
  <w:footnote w:id="36">
    <w:p w:rsidR="001E4CCD" w:rsidRPr="00670EC8" w:rsidRDefault="001E4CCD"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00B764A1" w:rsidRPr="00670EC8">
        <w:rPr>
          <w:rFonts w:ascii="Calibri" w:hAnsi="Calibri"/>
          <w:sz w:val="18"/>
        </w:rPr>
        <w:t xml:space="preserve">This is consistent with what in </w:t>
      </w:r>
      <w:r w:rsidR="00B764A1" w:rsidRPr="00996B68">
        <w:rPr>
          <w:rFonts w:ascii="Calibri" w:hAnsi="Calibri"/>
          <w:i/>
          <w:sz w:val="18"/>
        </w:rPr>
        <w:t>JE and DE v Surrey County Council</w:t>
      </w:r>
      <w:r w:rsidR="00B764A1" w:rsidRPr="00670EC8">
        <w:rPr>
          <w:rFonts w:ascii="Calibri" w:hAnsi="Calibri"/>
          <w:sz w:val="18"/>
        </w:rPr>
        <w:t xml:space="preserve"> and EW </w:t>
      </w:r>
      <w:proofErr w:type="spellStart"/>
      <w:r w:rsidR="00B764A1" w:rsidRPr="00670EC8">
        <w:rPr>
          <w:rFonts w:ascii="Calibri" w:hAnsi="Calibri"/>
          <w:sz w:val="18"/>
        </w:rPr>
        <w:t>Munby</w:t>
      </w:r>
      <w:proofErr w:type="spellEnd"/>
      <w:r w:rsidR="00B764A1" w:rsidRPr="00670EC8">
        <w:rPr>
          <w:rFonts w:ascii="Calibri" w:hAnsi="Calibri"/>
          <w:sz w:val="18"/>
        </w:rPr>
        <w:t xml:space="preserve"> J referred to </w:t>
      </w:r>
      <w:proofErr w:type="spellStart"/>
      <w:r w:rsidR="00B764A1" w:rsidRPr="00670EC8">
        <w:rPr>
          <w:rFonts w:ascii="Calibri" w:hAnsi="Calibri"/>
          <w:sz w:val="18"/>
        </w:rPr>
        <w:t>at</w:t>
      </w:r>
      <w:proofErr w:type="spellEnd"/>
      <w:r w:rsidR="00B764A1" w:rsidRPr="00670EC8">
        <w:rPr>
          <w:rFonts w:ascii="Calibri" w:hAnsi="Calibri"/>
          <w:sz w:val="18"/>
        </w:rPr>
        <w:t xml:space="preserve"> paragraph 77 ii) b) of his judgment as the necessary objective element in a deprivation of liberty: “In the type of case with which I am here concerned, the key factor is whether the person is, or is not, free to leave …”.</w:t>
      </w:r>
    </w:p>
  </w:footnote>
  <w:footnote w:id="37">
    <w:p w:rsidR="00B764A1" w:rsidRPr="00670EC8" w:rsidRDefault="00B764A1" w:rsidP="00670EC8">
      <w:pPr>
        <w:suppressAutoHyphens/>
        <w:spacing w:after="120" w:line="240" w:lineRule="auto"/>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Lord Goff summarised the evidence provided by the Mental Health Act Commission: “First and foremost, the effect of the [Court of Appeal’s] judgment is that large numbers of mental patients who would formerly not have to be compulsorily detained under the 1983 Act will now have to be so detained. Inquiries by the commission suggest that ‘there will be an additional 22,000 detained patients resident on any one day as a consequence of the Court of Appeal judgment plus an additional 48,000 admissions per year under the Act’ (written submission para 3.4). This estimate should be set against the background that the average number of detained patients resident on any one day in England and Wales is approximately 13,000.”</w:t>
      </w:r>
    </w:p>
  </w:footnote>
  <w:footnote w:id="38">
    <w:p w:rsidR="00B764A1" w:rsidRPr="00670EC8" w:rsidRDefault="00B764A1"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In respect of what is the largest group, people suffering from dementia, a recent study estimates that in the UK there are currently 424,378 people with late-onset dementia who are living in private households and a further 244,185 living in care homes. (Dementia UK – </w:t>
      </w:r>
      <w:r w:rsidRPr="00E116D7">
        <w:rPr>
          <w:rFonts w:ascii="Calibri" w:hAnsi="Calibri"/>
          <w:i/>
          <w:sz w:val="18"/>
        </w:rPr>
        <w:t>A report into the prevalence and cost of dementia prepared by the Personal Social Services Unit (PSSRU) at the London School of Economics and the Institute of Psychiatry at King’s College London, for the Alzheimer’s Society</w:t>
      </w:r>
      <w:r w:rsidRPr="00670EC8">
        <w:rPr>
          <w:rFonts w:ascii="Calibri" w:hAnsi="Calibri"/>
          <w:sz w:val="18"/>
        </w:rPr>
        <w:t>, 27th February 2007). Given that residence in a care home is usually associated with greater deterioration of functioning in a progressive condition, it seems reasonable to assume that, for their own safety, the majority of such people are not free to leave the care homes where they are residing.</w:t>
      </w:r>
    </w:p>
  </w:footnote>
  <w:footnote w:id="39">
    <w:p w:rsidR="00944EAA" w:rsidRPr="00670EC8" w:rsidRDefault="00944EA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670EC8">
        <w:rPr>
          <w:rFonts w:ascii="Calibri" w:hAnsi="Calibri"/>
          <w:sz w:val="18"/>
        </w:rPr>
        <w:t>Section 3(2)(c) says: “it is necessary for the health or safety of the patient or for the protection of other persons</w:t>
      </w:r>
      <w:r w:rsidRPr="00670EC8">
        <w:rPr>
          <w:rFonts w:ascii="Calibri" w:hAnsi="Calibri"/>
          <w:sz w:val="18"/>
        </w:rPr>
        <w:t xml:space="preserve"> </w:t>
      </w:r>
      <w:r w:rsidRPr="00670EC8">
        <w:rPr>
          <w:rFonts w:ascii="Calibri" w:hAnsi="Calibri"/>
          <w:sz w:val="18"/>
        </w:rPr>
        <w:t>that he should receive such treatment and it cannot be provided unless he is detained under this section.”</w:t>
      </w:r>
    </w:p>
  </w:footnote>
  <w:footnote w:id="40">
    <w:p w:rsidR="00944EAA" w:rsidRPr="00670EC8" w:rsidRDefault="00944EA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670EC8">
        <w:rPr>
          <w:rFonts w:ascii="Calibri" w:hAnsi="Calibri"/>
          <w:sz w:val="18"/>
        </w:rPr>
        <w:t>In the Mental Health Bill the exclusion of certain people</w:t>
      </w:r>
      <w:r w:rsidR="0084436A">
        <w:rPr>
          <w:rFonts w:ascii="Calibri" w:hAnsi="Calibri"/>
          <w:sz w:val="18"/>
        </w:rPr>
        <w:t xml:space="preserve"> </w:t>
      </w:r>
      <w:r w:rsidRPr="00670EC8">
        <w:rPr>
          <w:rFonts w:ascii="Calibri" w:hAnsi="Calibri"/>
          <w:sz w:val="18"/>
        </w:rPr>
        <w:t>with learning disability from detention under treatment</w:t>
      </w:r>
      <w:r w:rsidR="0084436A">
        <w:rPr>
          <w:rFonts w:ascii="Calibri" w:hAnsi="Calibri"/>
          <w:sz w:val="18"/>
        </w:rPr>
        <w:t xml:space="preserve"> </w:t>
      </w:r>
      <w:r w:rsidRPr="00670EC8">
        <w:rPr>
          <w:rFonts w:ascii="Calibri" w:hAnsi="Calibri"/>
          <w:sz w:val="18"/>
        </w:rPr>
        <w:t>sections of the MHA is continued - see footnote 23 above.</w:t>
      </w:r>
    </w:p>
  </w:footnote>
  <w:footnote w:id="41">
    <w:p w:rsidR="00944EAA" w:rsidRPr="00670EC8" w:rsidRDefault="00944EA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6739EE">
        <w:rPr>
          <w:rFonts w:ascii="Calibri" w:hAnsi="Calibri"/>
          <w:i/>
          <w:sz w:val="18"/>
        </w:rPr>
        <w:t>Mental Health Act Manual</w:t>
      </w:r>
      <w:r w:rsidRPr="00670EC8">
        <w:rPr>
          <w:rFonts w:ascii="Calibri" w:hAnsi="Calibri"/>
          <w:sz w:val="18"/>
        </w:rPr>
        <w:t>, Richard Jones, Thomson,</w:t>
      </w:r>
      <w:r w:rsidR="0084436A">
        <w:rPr>
          <w:rFonts w:ascii="Calibri" w:hAnsi="Calibri"/>
          <w:sz w:val="18"/>
        </w:rPr>
        <w:t xml:space="preserve"> </w:t>
      </w:r>
      <w:r w:rsidRPr="00670EC8">
        <w:rPr>
          <w:rFonts w:ascii="Calibri" w:hAnsi="Calibri"/>
          <w:sz w:val="18"/>
        </w:rPr>
        <w:t>Sweet &amp; Maxwell, 10th ed. 2006 page 23.</w:t>
      </w:r>
    </w:p>
  </w:footnote>
  <w:footnote w:id="42">
    <w:p w:rsidR="00944EAA" w:rsidRPr="00670EC8" w:rsidRDefault="00944EA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proofErr w:type="spellStart"/>
      <w:r w:rsidRPr="00670EC8">
        <w:rPr>
          <w:rFonts w:ascii="Calibri" w:hAnsi="Calibri"/>
          <w:sz w:val="18"/>
        </w:rPr>
        <w:t>Bournewood</w:t>
      </w:r>
      <w:proofErr w:type="spellEnd"/>
      <w:r w:rsidRPr="00670EC8">
        <w:rPr>
          <w:rFonts w:ascii="Calibri" w:hAnsi="Calibri"/>
          <w:sz w:val="18"/>
        </w:rPr>
        <w:t xml:space="preserve"> briefing sheet, Department of Health – November 2006.</w:t>
      </w:r>
    </w:p>
  </w:footnote>
  <w:footnote w:id="43">
    <w:p w:rsidR="00944EAA" w:rsidRPr="00670EC8" w:rsidRDefault="00944EA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670EC8">
        <w:rPr>
          <w:rFonts w:ascii="Calibri" w:hAnsi="Calibri"/>
          <w:sz w:val="18"/>
        </w:rPr>
        <w:t>The Government would presumably say, additionally, that</w:t>
      </w:r>
      <w:r w:rsidR="0084436A">
        <w:rPr>
          <w:rFonts w:ascii="Calibri" w:hAnsi="Calibri"/>
          <w:sz w:val="18"/>
        </w:rPr>
        <w:t xml:space="preserve"> </w:t>
      </w:r>
      <w:r w:rsidRPr="00670EC8">
        <w:rPr>
          <w:rFonts w:ascii="Calibri" w:hAnsi="Calibri"/>
          <w:sz w:val="18"/>
        </w:rPr>
        <w:t>MHA detention would only be available in such a case if</w:t>
      </w:r>
      <w:r w:rsidR="0084436A">
        <w:rPr>
          <w:rFonts w:ascii="Calibri" w:hAnsi="Calibri"/>
          <w:sz w:val="18"/>
        </w:rPr>
        <w:t xml:space="preserve"> </w:t>
      </w:r>
      <w:r w:rsidRPr="00670EC8">
        <w:rPr>
          <w:rFonts w:ascii="Calibri" w:hAnsi="Calibri"/>
          <w:sz w:val="18"/>
        </w:rPr>
        <w:t>the patient was objecting.</w:t>
      </w:r>
    </w:p>
  </w:footnote>
  <w:footnote w:id="44">
    <w:p w:rsidR="00944EAA" w:rsidRPr="00670EC8" w:rsidRDefault="00944EAA"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670EC8">
        <w:rPr>
          <w:rFonts w:ascii="Calibri" w:hAnsi="Calibri"/>
          <w:sz w:val="18"/>
        </w:rPr>
        <w:t>Per Lord Nolan – see footnote 20 above.</w:t>
      </w:r>
    </w:p>
  </w:footnote>
  <w:footnote w:id="45">
    <w:p w:rsidR="00670EC8" w:rsidRPr="00670EC8" w:rsidRDefault="00670EC8" w:rsidP="00670EC8">
      <w:pPr>
        <w:pStyle w:val="FootnoteText"/>
        <w:suppressAutoHyphens/>
        <w:spacing w:after="120"/>
        <w:rPr>
          <w:rFonts w:ascii="Calibri" w:hAnsi="Calibri"/>
          <w:sz w:val="18"/>
        </w:rPr>
      </w:pPr>
      <w:r w:rsidRPr="00670EC8">
        <w:rPr>
          <w:rStyle w:val="FootnoteReference"/>
          <w:rFonts w:ascii="Calibri" w:hAnsi="Calibri"/>
          <w:sz w:val="18"/>
        </w:rPr>
        <w:footnoteRef/>
      </w:r>
      <w:r w:rsidRPr="00670EC8">
        <w:rPr>
          <w:rFonts w:ascii="Calibri" w:hAnsi="Calibri"/>
          <w:sz w:val="18"/>
        </w:rPr>
        <w:t xml:space="preserve"> </w:t>
      </w:r>
      <w:r w:rsidRPr="00091C2C">
        <w:rPr>
          <w:rFonts w:ascii="Calibri" w:hAnsi="Calibri"/>
          <w:i/>
          <w:sz w:val="18"/>
        </w:rPr>
        <w:t>HL v United Kingdom (2005) 40 EHRR 761</w:t>
      </w:r>
      <w:r w:rsidRPr="00670EC8">
        <w:rPr>
          <w:rFonts w:ascii="Calibri" w:hAnsi="Calibri"/>
          <w:sz w:val="18"/>
        </w:rPr>
        <w:t>, page 801.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12C"/>
    <w:multiLevelType w:val="hybridMultilevel"/>
    <w:tmpl w:val="FD927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05761E"/>
    <w:multiLevelType w:val="hybridMultilevel"/>
    <w:tmpl w:val="75EA0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086FFD"/>
    <w:multiLevelType w:val="hybridMultilevel"/>
    <w:tmpl w:val="2E96A1BE"/>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BB7528"/>
    <w:multiLevelType w:val="hybridMultilevel"/>
    <w:tmpl w:val="A834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DB1A6C"/>
    <w:multiLevelType w:val="hybridMultilevel"/>
    <w:tmpl w:val="8D1A8A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500116"/>
    <w:multiLevelType w:val="hybridMultilevel"/>
    <w:tmpl w:val="B9FECAFE"/>
    <w:lvl w:ilvl="0" w:tplc="E35611FC">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6E0153"/>
    <w:multiLevelType w:val="hybridMultilevel"/>
    <w:tmpl w:val="0E9E4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49814F5"/>
    <w:multiLevelType w:val="hybridMultilevel"/>
    <w:tmpl w:val="423665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5F1DE1"/>
    <w:multiLevelType w:val="hybridMultilevel"/>
    <w:tmpl w:val="DE66B31C"/>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B26331"/>
    <w:multiLevelType w:val="hybridMultilevel"/>
    <w:tmpl w:val="1A26839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5"/>
  </w:num>
  <w:num w:numId="4">
    <w:abstractNumId w:val="9"/>
  </w:num>
  <w:num w:numId="5">
    <w:abstractNumId w:val="8"/>
  </w:num>
  <w:num w:numId="6">
    <w:abstractNumId w:val="2"/>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14"/>
    <w:rsid w:val="00091C2C"/>
    <w:rsid w:val="000961A6"/>
    <w:rsid w:val="000B7A2C"/>
    <w:rsid w:val="001E4CCD"/>
    <w:rsid w:val="002964B2"/>
    <w:rsid w:val="003A01C1"/>
    <w:rsid w:val="004A7C1A"/>
    <w:rsid w:val="004E2E4B"/>
    <w:rsid w:val="0051233C"/>
    <w:rsid w:val="005615FE"/>
    <w:rsid w:val="00670EC8"/>
    <w:rsid w:val="006739EE"/>
    <w:rsid w:val="006D5D9E"/>
    <w:rsid w:val="00843D66"/>
    <w:rsid w:val="0084436A"/>
    <w:rsid w:val="008B780F"/>
    <w:rsid w:val="008E1991"/>
    <w:rsid w:val="008F0F0B"/>
    <w:rsid w:val="00944EAA"/>
    <w:rsid w:val="00996B68"/>
    <w:rsid w:val="009D7F0A"/>
    <w:rsid w:val="00A11EBE"/>
    <w:rsid w:val="00A91597"/>
    <w:rsid w:val="00B764A1"/>
    <w:rsid w:val="00B92DEF"/>
    <w:rsid w:val="00C60A7D"/>
    <w:rsid w:val="00C71561"/>
    <w:rsid w:val="00DF770F"/>
    <w:rsid w:val="00E116D7"/>
    <w:rsid w:val="00E77E92"/>
    <w:rsid w:val="00E81F0B"/>
    <w:rsid w:val="00EC5DD6"/>
    <w:rsid w:val="00F03514"/>
    <w:rsid w:val="00F52795"/>
    <w:rsid w:val="00FC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7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F0A"/>
    <w:rPr>
      <w:sz w:val="20"/>
      <w:szCs w:val="20"/>
    </w:rPr>
  </w:style>
  <w:style w:type="character" w:styleId="FootnoteReference">
    <w:name w:val="footnote reference"/>
    <w:basedOn w:val="DefaultParagraphFont"/>
    <w:uiPriority w:val="99"/>
    <w:semiHidden/>
    <w:unhideWhenUsed/>
    <w:rsid w:val="009D7F0A"/>
    <w:rPr>
      <w:vertAlign w:val="superscript"/>
    </w:rPr>
  </w:style>
  <w:style w:type="paragraph" w:styleId="ListParagraph">
    <w:name w:val="List Paragraph"/>
    <w:basedOn w:val="Normal"/>
    <w:uiPriority w:val="34"/>
    <w:qFormat/>
    <w:rsid w:val="009D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7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F0A"/>
    <w:rPr>
      <w:sz w:val="20"/>
      <w:szCs w:val="20"/>
    </w:rPr>
  </w:style>
  <w:style w:type="character" w:styleId="FootnoteReference">
    <w:name w:val="footnote reference"/>
    <w:basedOn w:val="DefaultParagraphFont"/>
    <w:uiPriority w:val="99"/>
    <w:semiHidden/>
    <w:unhideWhenUsed/>
    <w:rsid w:val="009D7F0A"/>
    <w:rPr>
      <w:vertAlign w:val="superscript"/>
    </w:rPr>
  </w:style>
  <w:style w:type="paragraph" w:styleId="ListParagraph">
    <w:name w:val="List Paragraph"/>
    <w:basedOn w:val="Normal"/>
    <w:uiPriority w:val="34"/>
    <w:qFormat/>
    <w:rsid w:val="009D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590-9103-47E7-A86E-849720D0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7797</Words>
  <Characters>44448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8</cp:revision>
  <dcterms:created xsi:type="dcterms:W3CDTF">2014-10-24T13:11:00Z</dcterms:created>
  <dcterms:modified xsi:type="dcterms:W3CDTF">2014-10-27T12:47:00Z</dcterms:modified>
</cp:coreProperties>
</file>