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18" w:rsidRPr="00B81018" w:rsidRDefault="00B81018" w:rsidP="00B81018">
      <w:pPr>
        <w:rPr>
          <w:sz w:val="56"/>
          <w:szCs w:val="56"/>
        </w:rPr>
      </w:pPr>
      <w:r w:rsidRPr="00B81018">
        <w:rPr>
          <w:sz w:val="56"/>
          <w:szCs w:val="56"/>
        </w:rPr>
        <w:t>Vindicating the right to bodily security of the incapable in research – Part 2</w:t>
      </w:r>
    </w:p>
    <w:p w:rsidR="00B81018" w:rsidRPr="00B81018" w:rsidRDefault="00B81018" w:rsidP="00B81018">
      <w:pPr>
        <w:rPr>
          <w:sz w:val="28"/>
        </w:rPr>
      </w:pPr>
      <w:r w:rsidRPr="00B81018">
        <w:rPr>
          <w:i/>
          <w:iCs/>
          <w:sz w:val="28"/>
        </w:rPr>
        <w:t>Austen Garwood-</w:t>
      </w:r>
      <w:proofErr w:type="spellStart"/>
      <w:r w:rsidRPr="00B81018">
        <w:rPr>
          <w:i/>
          <w:iCs/>
          <w:sz w:val="28"/>
        </w:rPr>
        <w:t>Gowers</w:t>
      </w:r>
      <w:proofErr w:type="spellEnd"/>
      <w:r w:rsidR="00076907">
        <w:rPr>
          <w:rStyle w:val="FootnoteReference"/>
          <w:i/>
          <w:iCs/>
          <w:sz w:val="28"/>
        </w:rPr>
        <w:footnoteReference w:id="1"/>
      </w:r>
    </w:p>
    <w:p w:rsidR="00B81018" w:rsidRDefault="00B81018" w:rsidP="00B81018">
      <w:pPr>
        <w:rPr>
          <w:b/>
          <w:bCs/>
        </w:rPr>
      </w:pPr>
    </w:p>
    <w:p w:rsidR="00B81018" w:rsidRPr="00B81018" w:rsidRDefault="00B81018" w:rsidP="00B81018">
      <w:pPr>
        <w:rPr>
          <w:b/>
          <w:bCs/>
          <w:sz w:val="24"/>
        </w:rPr>
      </w:pPr>
      <w:r w:rsidRPr="00B81018">
        <w:rPr>
          <w:b/>
          <w:bCs/>
          <w:sz w:val="24"/>
        </w:rPr>
        <w:t>Introduction</w:t>
      </w:r>
    </w:p>
    <w:p w:rsidR="00B81018" w:rsidRDefault="00B81018" w:rsidP="00B81018">
      <w:r w:rsidRPr="00B81018">
        <w:rPr>
          <w:i/>
          <w:iCs/>
        </w:rPr>
        <w:t xml:space="preserve">The Mental Capacity Act 2005 </w:t>
      </w:r>
      <w:r w:rsidRPr="00B81018">
        <w:t>(MCA) generally exhibits a stronger ethos of protecting the</w:t>
      </w:r>
      <w:r>
        <w:t xml:space="preserve"> </w:t>
      </w:r>
      <w:r w:rsidRPr="00B81018">
        <w:t>incapable in intrusive research than the last but one version of the Bill. However, sections 31(5) and</w:t>
      </w:r>
      <w:r>
        <w:t xml:space="preserve"> </w:t>
      </w:r>
      <w:r w:rsidRPr="00B81018">
        <w:t>6 of the Act replicate clauses 31(4) and 31(5) of that version. As I noted in Part 1 of this article,</w:t>
      </w:r>
      <w:r>
        <w:t xml:space="preserve"> </w:t>
      </w:r>
      <w:r w:rsidRPr="00B81018">
        <w:t>these clauses are difficult to reconcile with the primary principle. Here I examine what effect, if</w:t>
      </w:r>
      <w:r>
        <w:t xml:space="preserve"> </w:t>
      </w:r>
      <w:r w:rsidRPr="00B81018">
        <w:t>any, they will have both on the process of authorising research projects involving intrusive research</w:t>
      </w:r>
      <w:r>
        <w:t xml:space="preserve"> </w:t>
      </w:r>
      <w:r w:rsidRPr="00B81018">
        <w:t>upon the incapable adult and on the ultimate use of the incapable adult in such research. This will</w:t>
      </w:r>
      <w:r>
        <w:t xml:space="preserve"> </w:t>
      </w:r>
      <w:r w:rsidRPr="00B81018">
        <w:t>involve analysis of the Act’s provisions in the light of both ordinary rules of statutory</w:t>
      </w:r>
      <w:r>
        <w:t xml:space="preserve"> </w:t>
      </w:r>
      <w:r w:rsidRPr="00B81018">
        <w:t>interpretation and the interpretative obligation imposed by section 3 of the Human Rights Act</w:t>
      </w:r>
      <w:r>
        <w:t xml:space="preserve"> </w:t>
      </w:r>
      <w:r w:rsidRPr="00B81018">
        <w:t>1998 (HRA).</w:t>
      </w:r>
    </w:p>
    <w:p w:rsidR="00B81018" w:rsidRPr="00B81018" w:rsidRDefault="00B81018" w:rsidP="00B81018"/>
    <w:p w:rsidR="00B81018" w:rsidRPr="00EE5221" w:rsidRDefault="00B81018" w:rsidP="00B81018">
      <w:pPr>
        <w:rPr>
          <w:b/>
          <w:bCs/>
          <w:sz w:val="24"/>
        </w:rPr>
      </w:pPr>
      <w:proofErr w:type="gramStart"/>
      <w:r w:rsidRPr="00EE5221">
        <w:rPr>
          <w:b/>
          <w:bCs/>
          <w:sz w:val="24"/>
        </w:rPr>
        <w:t>A role for section 31(5) and section 31(6)?</w:t>
      </w:r>
      <w:proofErr w:type="gramEnd"/>
    </w:p>
    <w:p w:rsidR="00B81018" w:rsidRPr="00B81018" w:rsidRDefault="00B81018" w:rsidP="00B81018">
      <w:r w:rsidRPr="00B81018">
        <w:t>Section 31 contains the conditions that an appropriate body must be satisfied are met if it is to</w:t>
      </w:r>
      <w:r>
        <w:t xml:space="preserve"> </w:t>
      </w:r>
      <w:r w:rsidRPr="00B81018">
        <w:t>approve a research project involving intrusion on an incapable adult.</w:t>
      </w:r>
      <w:r w:rsidR="00076907">
        <w:rPr>
          <w:rStyle w:val="FootnoteReference"/>
        </w:rPr>
        <w:footnoteReference w:id="2"/>
      </w:r>
      <w:r w:rsidRPr="00B81018">
        <w:t xml:space="preserve"> Section 31(5) states that:</w:t>
      </w:r>
    </w:p>
    <w:p w:rsidR="00B81018" w:rsidRPr="00B81018" w:rsidRDefault="00B81018" w:rsidP="00B81018">
      <w:r w:rsidRPr="00B81018">
        <w:t>“The research must–</w:t>
      </w:r>
    </w:p>
    <w:p w:rsidR="00B81018" w:rsidRDefault="00B81018" w:rsidP="00076907">
      <w:pPr>
        <w:pStyle w:val="ListParagraph"/>
        <w:numPr>
          <w:ilvl w:val="0"/>
          <w:numId w:val="1"/>
        </w:numPr>
      </w:pPr>
      <w:r w:rsidRPr="00B81018">
        <w:t>have the potential to benefit P without imposing on P a burden that is</w:t>
      </w:r>
      <w:r w:rsidR="00076907">
        <w:t xml:space="preserve"> </w:t>
      </w:r>
      <w:r w:rsidRPr="00B81018">
        <w:t>disproportionate to the potential benefit to P, or</w:t>
      </w:r>
    </w:p>
    <w:p w:rsidR="00163205" w:rsidRDefault="00B81018" w:rsidP="00163205">
      <w:pPr>
        <w:pStyle w:val="ListParagraph"/>
        <w:numPr>
          <w:ilvl w:val="0"/>
          <w:numId w:val="1"/>
        </w:numPr>
      </w:pPr>
      <w:proofErr w:type="gramStart"/>
      <w:r w:rsidRPr="00B81018">
        <w:t>be</w:t>
      </w:r>
      <w:proofErr w:type="gramEnd"/>
      <w:r w:rsidRPr="00B81018">
        <w:t xml:space="preserve"> intended to provide knowledge of the causes or treatment of, or of the care of</w:t>
      </w:r>
      <w:r w:rsidR="00076907">
        <w:t xml:space="preserve"> </w:t>
      </w:r>
      <w:r w:rsidRPr="00B81018">
        <w:t>persons affected by, the same or a similar condition.”</w:t>
      </w:r>
    </w:p>
    <w:p w:rsidR="00163205" w:rsidRPr="00163205" w:rsidRDefault="00163205" w:rsidP="00163205">
      <w:r w:rsidRPr="00163205">
        <w:t>Section 31(6) states that:</w:t>
      </w:r>
    </w:p>
    <w:p w:rsidR="00163205" w:rsidRPr="00163205" w:rsidRDefault="00163205" w:rsidP="00163205">
      <w:pPr>
        <w:ind w:left="284" w:right="237"/>
      </w:pPr>
      <w:r w:rsidRPr="00163205">
        <w:t>“If the research falls within paragraph (b) of subsection (5) but not within paragraph (a), there</w:t>
      </w:r>
      <w:r>
        <w:t xml:space="preserve"> </w:t>
      </w:r>
      <w:r w:rsidRPr="00163205">
        <w:t>must be reasonable grounds for believing–</w:t>
      </w:r>
    </w:p>
    <w:p w:rsidR="00163205" w:rsidRDefault="00163205" w:rsidP="00163205">
      <w:pPr>
        <w:pStyle w:val="ListParagraph"/>
        <w:numPr>
          <w:ilvl w:val="0"/>
          <w:numId w:val="2"/>
        </w:numPr>
      </w:pPr>
      <w:r w:rsidRPr="00163205">
        <w:t>that the risk to P from taking part in the project is likely to be negligible, and</w:t>
      </w:r>
    </w:p>
    <w:p w:rsidR="00163205" w:rsidRDefault="00163205" w:rsidP="00163205">
      <w:pPr>
        <w:pStyle w:val="ListParagraph"/>
        <w:numPr>
          <w:ilvl w:val="0"/>
          <w:numId w:val="2"/>
        </w:numPr>
      </w:pPr>
      <w:r w:rsidRPr="00163205">
        <w:t>that anything done to, or in relation to, P will not–</w:t>
      </w:r>
    </w:p>
    <w:p w:rsidR="00163205" w:rsidRDefault="00163205" w:rsidP="00163205">
      <w:pPr>
        <w:pStyle w:val="ListParagraph"/>
        <w:numPr>
          <w:ilvl w:val="1"/>
          <w:numId w:val="2"/>
        </w:numPr>
      </w:pPr>
      <w:r w:rsidRPr="00163205">
        <w:t>interfere with P’s freedom of action or privacy in a significant way, or</w:t>
      </w:r>
    </w:p>
    <w:p w:rsidR="00163205" w:rsidRPr="00163205" w:rsidRDefault="00163205" w:rsidP="00163205">
      <w:pPr>
        <w:pStyle w:val="ListParagraph"/>
        <w:numPr>
          <w:ilvl w:val="1"/>
          <w:numId w:val="2"/>
        </w:numPr>
      </w:pPr>
      <w:proofErr w:type="gramStart"/>
      <w:r w:rsidRPr="00163205">
        <w:lastRenderedPageBreak/>
        <w:t>be</w:t>
      </w:r>
      <w:proofErr w:type="gramEnd"/>
      <w:r w:rsidRPr="00163205">
        <w:t xml:space="preserve"> unduly invasive or restrictive.”</w:t>
      </w:r>
    </w:p>
    <w:p w:rsidR="00163205" w:rsidRPr="00163205" w:rsidRDefault="00163205" w:rsidP="00163205">
      <w:r w:rsidRPr="00163205">
        <w:t>These provisions are couched in the kind of restrictive language that, to the unsuspecting or</w:t>
      </w:r>
      <w:r>
        <w:t xml:space="preserve"> </w:t>
      </w:r>
      <w:r w:rsidRPr="00163205">
        <w:t>untrained eye, makes them appear to serve an important role in safeguarding the rights of the</w:t>
      </w:r>
      <w:r>
        <w:t xml:space="preserve"> </w:t>
      </w:r>
      <w:r w:rsidRPr="00163205">
        <w:t>incapable adult. However, in fact, it is evident that if one takes these provisions in isolation they</w:t>
      </w:r>
      <w:r>
        <w:t xml:space="preserve"> </w:t>
      </w:r>
      <w:r w:rsidRPr="00163205">
        <w:t>have the effect of diluting protection. It is only by treating them as superfluous in the light of other</w:t>
      </w:r>
      <w:r>
        <w:t xml:space="preserve"> </w:t>
      </w:r>
      <w:r w:rsidRPr="00163205">
        <w:t>provisions that this effect is avoided. On a literal analysis they clearly are superfluous. Section 33(3)</w:t>
      </w:r>
      <w:r>
        <w:t xml:space="preserve"> </w:t>
      </w:r>
      <w:r w:rsidRPr="00163205">
        <w:t>requires the interests of the potential subject of intrusive research to be treated as outweighing</w:t>
      </w:r>
      <w:r w:rsidR="0046442E">
        <w:t xml:space="preserve"> </w:t>
      </w:r>
      <w:r w:rsidRPr="00163205">
        <w:t>those of science and society, and by virtue of section 31(7), the appropriate body is required to</w:t>
      </w:r>
      <w:r w:rsidR="0046442E">
        <w:t xml:space="preserve"> </w:t>
      </w:r>
      <w:r w:rsidRPr="00163205">
        <w:t>have reasonable arrangements in place for ensuring that its requirements (along with those in the</w:t>
      </w:r>
      <w:r w:rsidR="0046442E">
        <w:t xml:space="preserve"> </w:t>
      </w:r>
      <w:r w:rsidRPr="00163205">
        <w:t>rest of sections 32 and 33) are met when the research authorisation process is taking place. To</w:t>
      </w:r>
      <w:r w:rsidR="0046442E">
        <w:t xml:space="preserve"> </w:t>
      </w:r>
      <w:r w:rsidRPr="00163205">
        <w:t>authorise a project involving primacy incompatible intrusion on an incapable adult may also</w:t>
      </w:r>
      <w:r w:rsidR="009165B6">
        <w:t xml:space="preserve"> </w:t>
      </w:r>
      <w:r w:rsidRPr="00163205">
        <w:t>amount to making a decision for the purposes of section 1(5), breaching its stipulation that acts</w:t>
      </w:r>
      <w:r w:rsidR="009165B6">
        <w:t xml:space="preserve"> </w:t>
      </w:r>
      <w:r w:rsidRPr="00163205">
        <w:t>and decisions made on behalf of incapable adults should be best interests compatible.</w:t>
      </w:r>
    </w:p>
    <w:p w:rsidR="00163205" w:rsidRPr="00163205" w:rsidRDefault="00163205" w:rsidP="00163205">
      <w:r w:rsidRPr="00163205">
        <w:t>The other crucial point to make is that on a literal reading the MCA treats project authorisation</w:t>
      </w:r>
      <w:r w:rsidR="009165B6">
        <w:t xml:space="preserve"> </w:t>
      </w:r>
      <w:r w:rsidRPr="00163205">
        <w:t>and actual use of an incapable adult in intrusive research as two distinct legal phases. On such a</w:t>
      </w:r>
      <w:r w:rsidR="009165B6">
        <w:t xml:space="preserve"> </w:t>
      </w:r>
      <w:r w:rsidRPr="00163205">
        <w:t>reading, even if the Courts or an appropriate body were to interpret section 31(5) and 31(6) as</w:t>
      </w:r>
      <w:r w:rsidR="009165B6">
        <w:t xml:space="preserve"> </w:t>
      </w:r>
      <w:r w:rsidRPr="00163205">
        <w:t>allowing research projects involving best interests incompatible intrusion on the incapable adult to</w:t>
      </w:r>
      <w:r w:rsidR="009165B6">
        <w:t xml:space="preserve"> </w:t>
      </w:r>
      <w:r w:rsidRPr="00163205">
        <w:t>be authorised, such an intrusion could not be carried out because it would be inconsistent not only</w:t>
      </w:r>
      <w:r w:rsidR="009165B6">
        <w:t xml:space="preserve"> </w:t>
      </w:r>
      <w:r w:rsidRPr="00163205">
        <w:t>with section 1(5) but also section 30(1) in conjunction with section 33(3). Section 30(1) states that:</w:t>
      </w:r>
    </w:p>
    <w:p w:rsidR="00163205" w:rsidRPr="00163205" w:rsidRDefault="00163205" w:rsidP="009165B6">
      <w:pPr>
        <w:ind w:left="426"/>
      </w:pPr>
      <w:r w:rsidRPr="00163205">
        <w:t>“Intrusive research carried out on, or in relation to, a person who lacks capacity to consent to</w:t>
      </w:r>
      <w:r w:rsidR="009165B6">
        <w:t xml:space="preserve"> </w:t>
      </w:r>
      <w:r w:rsidRPr="00163205">
        <w:t>it is unlawful unless it is carried out–</w:t>
      </w:r>
    </w:p>
    <w:p w:rsidR="00163205" w:rsidRDefault="00163205" w:rsidP="009165B6">
      <w:pPr>
        <w:pStyle w:val="ListParagraph"/>
        <w:numPr>
          <w:ilvl w:val="0"/>
          <w:numId w:val="3"/>
        </w:numPr>
      </w:pPr>
      <w:r w:rsidRPr="00163205">
        <w:t>as part of a research project which is for the time being approved by the appropriate body</w:t>
      </w:r>
      <w:r w:rsidR="009165B6">
        <w:t xml:space="preserve"> </w:t>
      </w:r>
      <w:r w:rsidRPr="00163205">
        <w:t>for the purposes of this Act in accordance with section 31, and</w:t>
      </w:r>
    </w:p>
    <w:p w:rsidR="00163205" w:rsidRPr="00163205" w:rsidRDefault="00163205" w:rsidP="00163205">
      <w:pPr>
        <w:pStyle w:val="ListParagraph"/>
        <w:numPr>
          <w:ilvl w:val="0"/>
          <w:numId w:val="3"/>
        </w:numPr>
      </w:pPr>
      <w:proofErr w:type="gramStart"/>
      <w:r w:rsidRPr="00163205">
        <w:t>in</w:t>
      </w:r>
      <w:proofErr w:type="gramEnd"/>
      <w:r w:rsidRPr="00163205">
        <w:t xml:space="preserve"> accordance with sections 32 and 33.”</w:t>
      </w:r>
    </w:p>
    <w:p w:rsidR="00163205" w:rsidRPr="00163205" w:rsidRDefault="00163205" w:rsidP="00163205">
      <w:r w:rsidRPr="00163205">
        <w:t>Section 33(3) states that ‘(t</w:t>
      </w:r>
      <w:proofErr w:type="gramStart"/>
      <w:r w:rsidRPr="00163205">
        <w:t>)he</w:t>
      </w:r>
      <w:proofErr w:type="gramEnd"/>
      <w:r w:rsidRPr="00163205">
        <w:t xml:space="preserve"> interests of the person must be assumed to outweigh those of</w:t>
      </w:r>
      <w:r w:rsidR="009165B6">
        <w:t xml:space="preserve"> </w:t>
      </w:r>
      <w:r w:rsidRPr="00163205">
        <w:t>science and society.’</w:t>
      </w:r>
    </w:p>
    <w:p w:rsidR="009165B6" w:rsidRPr="009165B6" w:rsidRDefault="00163205" w:rsidP="009165B6">
      <w:r w:rsidRPr="00163205">
        <w:t>It is evident that, literally understood, sections 31(5) and 31(6) simply impose limited requirements</w:t>
      </w:r>
      <w:r w:rsidR="009165B6">
        <w:t xml:space="preserve"> </w:t>
      </w:r>
      <w:r w:rsidRPr="00163205">
        <w:t>on the appropriate body that are exceeded by other requirements. The question that remains is</w:t>
      </w:r>
      <w:r w:rsidR="009165B6">
        <w:t xml:space="preserve"> </w:t>
      </w:r>
      <w:r w:rsidRPr="00163205">
        <w:t>whether they can be given some effect on a purposive analysis? Some ministerial statements hint at</w:t>
      </w:r>
      <w:r w:rsidR="009165B6">
        <w:t xml:space="preserve"> </w:t>
      </w:r>
      <w:r w:rsidRPr="00163205">
        <w:t xml:space="preserve">the idea that the Act was intended to facilitate a </w:t>
      </w:r>
      <w:proofErr w:type="spellStart"/>
      <w:r w:rsidRPr="00163205">
        <w:t>trade off</w:t>
      </w:r>
      <w:proofErr w:type="spellEnd"/>
      <w:r w:rsidRPr="00163205">
        <w:t xml:space="preserve"> of the interests of the incapable adult</w:t>
      </w:r>
      <w:r w:rsidR="009165B6">
        <w:t xml:space="preserve"> </w:t>
      </w:r>
      <w:r w:rsidRPr="00163205">
        <w:t>against the need for research. However, the Minister declined a clear opportunity to exclude the</w:t>
      </w:r>
      <w:r w:rsidR="009165B6">
        <w:t xml:space="preserve"> </w:t>
      </w:r>
      <w:r w:rsidRPr="00163205">
        <w:t>use of the section 1(5) best interests principle in the research context when the Bill was at Third</w:t>
      </w:r>
      <w:r w:rsidR="009165B6">
        <w:t xml:space="preserve"> </w:t>
      </w:r>
      <w:r w:rsidRPr="00163205">
        <w:t>Reading in the Commons</w:t>
      </w:r>
      <w:r w:rsidR="009165B6">
        <w:rPr>
          <w:rStyle w:val="FootnoteReference"/>
        </w:rPr>
        <w:footnoteReference w:id="3"/>
      </w:r>
      <w:r w:rsidRPr="00163205">
        <w:t xml:space="preserve"> What is more the late addition and ultimately enactment of a new</w:t>
      </w:r>
      <w:r w:rsidR="009165B6">
        <w:t xml:space="preserve"> </w:t>
      </w:r>
      <w:r w:rsidR="009165B6" w:rsidRPr="009165B6">
        <w:t>clause 33(3) requirement to protect the interest of the incapable adult subject over those of science</w:t>
      </w:r>
      <w:r w:rsidR="009165B6">
        <w:t xml:space="preserve"> </w:t>
      </w:r>
      <w:r w:rsidR="009165B6" w:rsidRPr="009165B6">
        <w:t>in intrusive research, is very hard to square with an intent to give section 31(5) and 31(6)</w:t>
      </w:r>
      <w:r w:rsidR="009165B6">
        <w:t xml:space="preserve"> </w:t>
      </w:r>
      <w:r w:rsidR="009165B6" w:rsidRPr="009165B6">
        <w:t>substantive effect. This is not to say that the legislation unequivocally supports a primacy</w:t>
      </w:r>
      <w:r w:rsidR="009165B6">
        <w:t xml:space="preserve"> </w:t>
      </w:r>
      <w:r w:rsidR="009165B6" w:rsidRPr="009165B6">
        <w:t>approach, rather it is somewhat ambiguous.</w:t>
      </w:r>
      <w:r w:rsidR="009165B6">
        <w:rPr>
          <w:rStyle w:val="FootnoteReference"/>
        </w:rPr>
        <w:footnoteReference w:id="4"/>
      </w:r>
      <w:r w:rsidR="009165B6" w:rsidRPr="009165B6">
        <w:t xml:space="preserve"> However, under ordinary rules of statutory</w:t>
      </w:r>
      <w:r w:rsidR="009165B6">
        <w:t xml:space="preserve"> </w:t>
      </w:r>
      <w:r w:rsidR="009165B6" w:rsidRPr="009165B6">
        <w:t>interpretation a purposive approach cannot be preferred over a literal one where Parliament’s</w:t>
      </w:r>
      <w:r w:rsidR="009165B6">
        <w:t xml:space="preserve"> </w:t>
      </w:r>
      <w:r w:rsidR="009165B6" w:rsidRPr="009165B6">
        <w:t xml:space="preserve">intent behind creating the provisions at issue is </w:t>
      </w:r>
      <w:r w:rsidR="009165B6" w:rsidRPr="009165B6">
        <w:lastRenderedPageBreak/>
        <w:t>ambiguous.</w:t>
      </w:r>
      <w:r w:rsidR="009165B6">
        <w:rPr>
          <w:rStyle w:val="FootnoteReference"/>
        </w:rPr>
        <w:footnoteReference w:id="5"/>
      </w:r>
      <w:r w:rsidR="009165B6" w:rsidRPr="009165B6">
        <w:t xml:space="preserve"> What </w:t>
      </w:r>
      <w:proofErr w:type="spellStart"/>
      <w:r w:rsidR="009165B6" w:rsidRPr="009165B6">
        <w:t>amibuity</w:t>
      </w:r>
      <w:proofErr w:type="spellEnd"/>
      <w:r w:rsidR="009165B6" w:rsidRPr="009165B6">
        <w:t xml:space="preserve"> does facilitate is the</w:t>
      </w:r>
      <w:r w:rsidR="009165B6">
        <w:t xml:space="preserve"> </w:t>
      </w:r>
      <w:r w:rsidR="009165B6" w:rsidRPr="009165B6">
        <w:t>application of various legislative presumptions. However, if anything, these further damage the</w:t>
      </w:r>
      <w:r w:rsidR="009165B6">
        <w:t xml:space="preserve"> </w:t>
      </w:r>
      <w:r w:rsidR="009165B6" w:rsidRPr="009165B6">
        <w:t>arguments that sections 31(5) and 31(6) should be given substantive effect.</w:t>
      </w:r>
    </w:p>
    <w:p w:rsidR="009165B6" w:rsidRPr="009165B6" w:rsidRDefault="009165B6" w:rsidP="009165B6">
      <w:r w:rsidRPr="009165B6">
        <w:t>The presumption in favour of maintaining the common law position</w:t>
      </w:r>
      <w:r>
        <w:rPr>
          <w:rStyle w:val="FootnoteReference"/>
        </w:rPr>
        <w:footnoteReference w:id="6"/>
      </w:r>
      <w:r w:rsidRPr="009165B6">
        <w:t xml:space="preserve"> will clearly favour a best</w:t>
      </w:r>
      <w:r>
        <w:t xml:space="preserve"> </w:t>
      </w:r>
      <w:r w:rsidRPr="009165B6">
        <w:t>interests approach. So too, it can be suggested, would the presumption in favour of protecting the</w:t>
      </w:r>
      <w:r>
        <w:t xml:space="preserve"> </w:t>
      </w:r>
      <w:r w:rsidRPr="009165B6">
        <w:t>rights of the citizen.</w:t>
      </w:r>
      <w:r>
        <w:rPr>
          <w:rStyle w:val="FootnoteReference"/>
        </w:rPr>
        <w:footnoteReference w:id="7"/>
      </w:r>
      <w:r w:rsidRPr="009165B6">
        <w:t xml:space="preserve"> Lord Hoffman explained the scope and rationale of this presumption in</w:t>
      </w:r>
      <w:r>
        <w:t xml:space="preserve"> </w:t>
      </w:r>
      <w:r w:rsidRPr="009165B6">
        <w:rPr>
          <w:i/>
          <w:iCs/>
        </w:rPr>
        <w:t xml:space="preserve">R v Secretary for State for the Home Department, Ex parte Simms </w:t>
      </w:r>
      <w:r w:rsidRPr="009165B6">
        <w:t>[2000] 2 AC 115, HL:</w:t>
      </w:r>
    </w:p>
    <w:p w:rsidR="009165B6" w:rsidRPr="009165B6" w:rsidRDefault="009165B6" w:rsidP="009165B6">
      <w:pPr>
        <w:ind w:left="567" w:right="521"/>
      </w:pPr>
      <w:r w:rsidRPr="009165B6">
        <w:rPr>
          <w:i/>
          <w:iCs/>
        </w:rPr>
        <w:t>“Fundamental rights cannot be overridden by general or ambiguous words. This is because there is</w:t>
      </w:r>
      <w:r>
        <w:rPr>
          <w:i/>
          <w:iCs/>
        </w:rPr>
        <w:t xml:space="preserve"> </w:t>
      </w:r>
      <w:r w:rsidRPr="009165B6">
        <w:rPr>
          <w:i/>
          <w:iCs/>
        </w:rPr>
        <w:t>too great a risk that the full implications of their unqualified meaning may have passed unnoticed</w:t>
      </w:r>
      <w:r>
        <w:rPr>
          <w:i/>
          <w:iCs/>
        </w:rPr>
        <w:t xml:space="preserve"> </w:t>
      </w:r>
      <w:r w:rsidRPr="009165B6">
        <w:rPr>
          <w:i/>
          <w:iCs/>
        </w:rPr>
        <w:t>in the democratic process. In the absence of express language or necessary implication to the</w:t>
      </w:r>
      <w:r>
        <w:rPr>
          <w:i/>
          <w:iCs/>
        </w:rPr>
        <w:t xml:space="preserve"> </w:t>
      </w:r>
      <w:r w:rsidRPr="009165B6">
        <w:rPr>
          <w:i/>
          <w:iCs/>
        </w:rPr>
        <w:t>contrary, the courts therefore presume that even the most general words were intended to be subject</w:t>
      </w:r>
      <w:r>
        <w:rPr>
          <w:i/>
          <w:iCs/>
        </w:rPr>
        <w:t xml:space="preserve"> </w:t>
      </w:r>
      <w:r w:rsidRPr="009165B6">
        <w:rPr>
          <w:i/>
          <w:iCs/>
        </w:rPr>
        <w:t>to the basic rights of the individual.”</w:t>
      </w:r>
      <w:r w:rsidR="00764157">
        <w:rPr>
          <w:rStyle w:val="FootnoteReference"/>
          <w:i/>
          <w:iCs/>
        </w:rPr>
        <w:footnoteReference w:id="8"/>
      </w:r>
    </w:p>
    <w:p w:rsidR="00163205" w:rsidRDefault="009165B6" w:rsidP="009165B6">
      <w:r w:rsidRPr="009165B6">
        <w:t>The right to bodily security is widely accepted to be a fundamental right which extends protection</w:t>
      </w:r>
      <w:r>
        <w:t xml:space="preserve"> </w:t>
      </w:r>
      <w:r w:rsidRPr="009165B6">
        <w:t>to both the capable and incapable. Its freedom from intrusion aspect is implicated in the protection</w:t>
      </w:r>
      <w:r>
        <w:t xml:space="preserve"> </w:t>
      </w:r>
      <w:r w:rsidRPr="009165B6">
        <w:t>of several other fundamental rights, including: The right to life; freedom from torture, inhuman</w:t>
      </w:r>
      <w:r>
        <w:t xml:space="preserve"> </w:t>
      </w:r>
      <w:r w:rsidRPr="009165B6">
        <w:t>and degrading treatment or punishment; freedom from slavery and servitude; the right to liberty</w:t>
      </w:r>
      <w:r>
        <w:t xml:space="preserve"> </w:t>
      </w:r>
      <w:r w:rsidRPr="009165B6">
        <w:t xml:space="preserve">and security of person; </w:t>
      </w:r>
      <w:r w:rsidRPr="009165B6">
        <w:rPr>
          <w:i/>
          <w:iCs/>
        </w:rPr>
        <w:t xml:space="preserve">and </w:t>
      </w:r>
      <w:r w:rsidRPr="009165B6">
        <w:t>the right to respect for private and family life. These rights are</w:t>
      </w:r>
      <w:r>
        <w:t xml:space="preserve"> </w:t>
      </w:r>
      <w:r w:rsidRPr="009165B6">
        <w:t xml:space="preserve">protected in Europe by, respectively, Articles 2–5 and 8 of the </w:t>
      </w:r>
      <w:r w:rsidRPr="009165B6">
        <w:rPr>
          <w:i/>
          <w:iCs/>
        </w:rPr>
        <w:t>ECHR</w:t>
      </w:r>
      <w:r w:rsidRPr="009165B6">
        <w:t>. This brings us to the</w:t>
      </w:r>
      <w:r>
        <w:t xml:space="preserve"> </w:t>
      </w:r>
      <w:r w:rsidRPr="009165B6">
        <w:t>question of whether the HRA section 3 obligation to interpret law compatibly with ‘convention</w:t>
      </w:r>
      <w:r>
        <w:t xml:space="preserve"> </w:t>
      </w:r>
      <w:r w:rsidRPr="009165B6">
        <w:t>rights’ so ‘far as it is possible to do so’ might be an alternate basis on which to argue that sections</w:t>
      </w:r>
      <w:r>
        <w:t xml:space="preserve"> </w:t>
      </w:r>
      <w:r w:rsidRPr="009165B6">
        <w:t>31(5)-(6) of the MCA should be treated as superfluous. Section 3 of the HRA does not allow the</w:t>
      </w:r>
      <w:r>
        <w:t xml:space="preserve"> </w:t>
      </w:r>
      <w:r w:rsidRPr="009165B6">
        <w:t>Courts to go against the express or implied will of Parliament</w:t>
      </w:r>
      <w:r w:rsidR="00764157">
        <w:rPr>
          <w:rStyle w:val="FootnoteReference"/>
        </w:rPr>
        <w:footnoteReference w:id="9"/>
      </w:r>
      <w:r w:rsidRPr="009165B6">
        <w:t xml:space="preserve"> but it does enable the Courts to</w:t>
      </w:r>
      <w:r>
        <w:t xml:space="preserve"> </w:t>
      </w:r>
      <w:r w:rsidRPr="009165B6">
        <w:t>reach outcomes compliant with convention rights to a greater extent than was previously</w:t>
      </w:r>
      <w:r>
        <w:t xml:space="preserve"> </w:t>
      </w:r>
      <w:r w:rsidRPr="009165B6">
        <w:t>possible.</w:t>
      </w:r>
      <w:r w:rsidR="00764157">
        <w:rPr>
          <w:rStyle w:val="FootnoteReference"/>
        </w:rPr>
        <w:footnoteReference w:id="10"/>
      </w:r>
      <w:r w:rsidRPr="009165B6">
        <w:t xml:space="preserve"> In any event in a situation such as this where intention is ambiguous there is no barrier</w:t>
      </w:r>
      <w:r>
        <w:t xml:space="preserve"> </w:t>
      </w:r>
      <w:r w:rsidRPr="009165B6">
        <w:t>to its use. Thus the only question is whether convention rights compliance does preclude a role for</w:t>
      </w:r>
      <w:r>
        <w:t xml:space="preserve"> </w:t>
      </w:r>
      <w:r w:rsidRPr="009165B6">
        <w:t>section 31(5)-(6).</w:t>
      </w:r>
    </w:p>
    <w:p w:rsidR="006F4BFF" w:rsidRDefault="006F4BFF" w:rsidP="009165B6"/>
    <w:p w:rsidR="006F4BFF" w:rsidRPr="00EE5221" w:rsidRDefault="006F4BFF" w:rsidP="006F4BFF">
      <w:pPr>
        <w:rPr>
          <w:b/>
          <w:bCs/>
          <w:sz w:val="24"/>
        </w:rPr>
      </w:pPr>
      <w:r w:rsidRPr="00EE5221">
        <w:rPr>
          <w:b/>
          <w:bCs/>
          <w:sz w:val="24"/>
        </w:rPr>
        <w:t>Convention Rights and Intrusive Research on the Incapable</w:t>
      </w:r>
    </w:p>
    <w:p w:rsidR="006F4BFF" w:rsidRPr="006F4BFF" w:rsidRDefault="006F4BFF" w:rsidP="006F4BFF">
      <w:r w:rsidRPr="006F4BFF">
        <w:t>In most cases authorisation of projects involving primacy incompatible intrusive research is not</w:t>
      </w:r>
      <w:r>
        <w:t xml:space="preserve"> </w:t>
      </w:r>
      <w:r w:rsidRPr="006F4BFF">
        <w:t>going to constitute a threat to the life of prospective participants, involve detaining them or rise to</w:t>
      </w:r>
      <w:r>
        <w:t xml:space="preserve"> </w:t>
      </w:r>
      <w:r w:rsidRPr="006F4BFF">
        <w:t>the threshold for being deemed slavery or servitude. However, it may generally violate Article 8 in</w:t>
      </w:r>
      <w:r>
        <w:t xml:space="preserve"> </w:t>
      </w:r>
      <w:r w:rsidRPr="006F4BFF">
        <w:t>its private life aspect and, at least in many cases, Article 3 in its inhuman and degrading treatment</w:t>
      </w:r>
      <w:r>
        <w:t xml:space="preserve"> </w:t>
      </w:r>
      <w:r w:rsidRPr="006F4BFF">
        <w:t>aspect. These rights could be used in isolation or in conjunction with Article 14 where the</w:t>
      </w:r>
      <w:r>
        <w:t xml:space="preserve"> </w:t>
      </w:r>
      <w:r w:rsidRPr="006F4BFF">
        <w:t>violation of primacy is class selective.</w:t>
      </w:r>
    </w:p>
    <w:p w:rsidR="006F4BFF" w:rsidRPr="006F4BFF" w:rsidRDefault="006F4BFF" w:rsidP="006F4BFF">
      <w:r w:rsidRPr="006F4BFF">
        <w:lastRenderedPageBreak/>
        <w:t>As far as Article 3 is concerned factors relevant to determining whether conduct reaches the</w:t>
      </w:r>
      <w:r>
        <w:t xml:space="preserve"> </w:t>
      </w:r>
      <w:r w:rsidRPr="006F4BFF">
        <w:t>minimum level of severity to be classed as inhuman and degrading for the purposes of Article 3</w:t>
      </w:r>
      <w:r>
        <w:t xml:space="preserve"> </w:t>
      </w:r>
      <w:r w:rsidRPr="006F4BFF">
        <w:t>include: Its nature and context; the manner of its execution; its duration; its physical and mental</w:t>
      </w:r>
      <w:r>
        <w:t xml:space="preserve"> </w:t>
      </w:r>
      <w:r w:rsidRPr="006F4BFF">
        <w:t>effects, including any impact on health; and its object – for example, whether or not it is intended</w:t>
      </w:r>
      <w:r>
        <w:t xml:space="preserve"> </w:t>
      </w:r>
      <w:r w:rsidRPr="006F4BFF">
        <w:t xml:space="preserve">to humiliate or debase. A key case is </w:t>
      </w:r>
      <w:proofErr w:type="spellStart"/>
      <w:r w:rsidRPr="006F4BFF">
        <w:rPr>
          <w:i/>
          <w:iCs/>
        </w:rPr>
        <w:t>Herczegfalvy</w:t>
      </w:r>
      <w:proofErr w:type="spellEnd"/>
      <w:r w:rsidRPr="006F4BFF">
        <w:rPr>
          <w:i/>
          <w:iCs/>
        </w:rPr>
        <w:t xml:space="preserve"> v Austria </w:t>
      </w:r>
      <w:r w:rsidRPr="006F4BFF">
        <w:t>(10533/83) (1993) 15 EHRR 432 where</w:t>
      </w:r>
      <w:r>
        <w:t xml:space="preserve"> </w:t>
      </w:r>
      <w:r w:rsidRPr="006F4BFF">
        <w:t>the European Court of Human Rights stated that as a general rule it would not be inhuman or</w:t>
      </w:r>
      <w:r>
        <w:t xml:space="preserve"> </w:t>
      </w:r>
      <w:r w:rsidRPr="006F4BFF">
        <w:t>degrading to subject incapable patients, if necessary by force, to ‘a measure which is a therapeutic</w:t>
      </w:r>
      <w:r>
        <w:t xml:space="preserve"> </w:t>
      </w:r>
      <w:r w:rsidRPr="006F4BFF">
        <w:t>necessity.’</w:t>
      </w:r>
      <w:r>
        <w:rPr>
          <w:rStyle w:val="FootnoteReference"/>
        </w:rPr>
        <w:footnoteReference w:id="11"/>
      </w:r>
      <w:r w:rsidRPr="006F4BFF">
        <w:t xml:space="preserve"> However, it did so with the proviso that, ‘(t</w:t>
      </w:r>
      <w:proofErr w:type="gramStart"/>
      <w:r w:rsidRPr="006F4BFF">
        <w:t>)he</w:t>
      </w:r>
      <w:proofErr w:type="gramEnd"/>
      <w:r w:rsidRPr="006F4BFF">
        <w:t xml:space="preserve"> Court must nevertheless satisfy itself</w:t>
      </w:r>
      <w:r>
        <w:t xml:space="preserve"> </w:t>
      </w:r>
      <w:r w:rsidRPr="006F4BFF">
        <w:t>that the medical necessity has been convincingly shown to exist.’</w:t>
      </w:r>
      <w:r>
        <w:rPr>
          <w:rStyle w:val="FootnoteReference"/>
        </w:rPr>
        <w:footnoteReference w:id="12"/>
      </w:r>
      <w:r w:rsidRPr="006F4BFF">
        <w:t xml:space="preserve"> Whilst the Court would</w:t>
      </w:r>
      <w:r>
        <w:t xml:space="preserve"> </w:t>
      </w:r>
      <w:r w:rsidRPr="006F4BFF">
        <w:t>doubtless also allow this test to be waived in relation to an intrusion that was necessary to protect</w:t>
      </w:r>
      <w:r>
        <w:t xml:space="preserve"> </w:t>
      </w:r>
      <w:r w:rsidRPr="006F4BFF">
        <w:t>the rights of others, to allow it to be waived in order to better meet the mere needs of others would</w:t>
      </w:r>
      <w:r>
        <w:t xml:space="preserve"> </w:t>
      </w:r>
      <w:r w:rsidRPr="006F4BFF">
        <w:t>be to undermine its very basis. Thus the only difficulty in showing that Article 3 is violated by a</w:t>
      </w:r>
      <w:r>
        <w:t xml:space="preserve"> </w:t>
      </w:r>
      <w:r w:rsidRPr="006F4BFF">
        <w:t xml:space="preserve">best </w:t>
      </w:r>
      <w:proofErr w:type="gramStart"/>
      <w:r w:rsidRPr="006F4BFF">
        <w:t>interests</w:t>
      </w:r>
      <w:proofErr w:type="gramEnd"/>
      <w:r w:rsidRPr="006F4BFF">
        <w:t xml:space="preserve"> incompatible intrusion on the incapable in the research context, is in showing that</w:t>
      </w:r>
      <w:r>
        <w:t xml:space="preserve"> </w:t>
      </w:r>
      <w:r w:rsidRPr="006F4BFF">
        <w:t>the intrusion reaches the minimum severity threshold.</w:t>
      </w:r>
    </w:p>
    <w:p w:rsidR="006F4BFF" w:rsidRPr="006F4BFF" w:rsidRDefault="006F4BFF" w:rsidP="006F4BFF">
      <w:r w:rsidRPr="006F4BFF">
        <w:t>Questions of minimum threshold are not such a significant issue with Article 8. The private life</w:t>
      </w:r>
      <w:r>
        <w:t xml:space="preserve"> </w:t>
      </w:r>
      <w:r w:rsidRPr="006F4BFF">
        <w:t xml:space="preserve">aspect of Article 8 is engaged by compulsory urine testing according to the Court in </w:t>
      </w:r>
      <w:r w:rsidRPr="006F4BFF">
        <w:rPr>
          <w:i/>
          <w:iCs/>
        </w:rPr>
        <w:t>Peters v The</w:t>
      </w:r>
      <w:r>
        <w:rPr>
          <w:i/>
          <w:iCs/>
        </w:rPr>
        <w:t xml:space="preserve"> </w:t>
      </w:r>
      <w:r w:rsidRPr="006F4BFF">
        <w:rPr>
          <w:i/>
          <w:iCs/>
        </w:rPr>
        <w:t xml:space="preserve">Netherlands </w:t>
      </w:r>
      <w:r w:rsidRPr="006F4BFF">
        <w:t>(1994) 77A DR 75 and by even minor forms of compulsory medical intervention</w:t>
      </w:r>
      <w:r>
        <w:t xml:space="preserve"> </w:t>
      </w:r>
      <w:r w:rsidRPr="006F4BFF">
        <w:t xml:space="preserve">according to the Commission in </w:t>
      </w:r>
      <w:r w:rsidRPr="006F4BFF">
        <w:rPr>
          <w:i/>
          <w:iCs/>
        </w:rPr>
        <w:t xml:space="preserve">X v Austria </w:t>
      </w:r>
      <w:r w:rsidRPr="006F4BFF">
        <w:t>(1980) 18 D.R. 154 at 156. The real issue is whether</w:t>
      </w:r>
      <w:r>
        <w:t xml:space="preserve"> </w:t>
      </w:r>
      <w:r w:rsidRPr="006F4BFF">
        <w:t>the intrusion can be justified by Article 8(2). This states that:</w:t>
      </w:r>
    </w:p>
    <w:p w:rsidR="006F4BFF" w:rsidRPr="006F4BFF" w:rsidRDefault="006F4BFF" w:rsidP="006F4BFF">
      <w:pPr>
        <w:ind w:left="567" w:right="521"/>
        <w:rPr>
          <w:i/>
          <w:iCs/>
        </w:rPr>
      </w:pPr>
      <w:r w:rsidRPr="006F4BFF">
        <w:rPr>
          <w:i/>
          <w:iCs/>
        </w:rPr>
        <w:t>“There shall be no interference by a public authority with the exercise of this right except such as</w:t>
      </w:r>
      <w:r>
        <w:rPr>
          <w:i/>
          <w:iCs/>
        </w:rPr>
        <w:t xml:space="preserve"> </w:t>
      </w:r>
      <w:r w:rsidRPr="006F4BFF">
        <w:rPr>
          <w:i/>
          <w:iCs/>
        </w:rPr>
        <w:t>in accordance with the law and is necessary in a democratic society in the interests of national</w:t>
      </w:r>
      <w:r>
        <w:rPr>
          <w:i/>
          <w:iCs/>
        </w:rPr>
        <w:t xml:space="preserve"> </w:t>
      </w:r>
      <w:r w:rsidRPr="006F4BFF">
        <w:rPr>
          <w:i/>
          <w:iCs/>
        </w:rPr>
        <w:t>security, public safety or the economic well-being of the country, for the prevention of disorder or</w:t>
      </w:r>
      <w:r>
        <w:rPr>
          <w:i/>
          <w:iCs/>
        </w:rPr>
        <w:t xml:space="preserve"> </w:t>
      </w:r>
      <w:r w:rsidRPr="006F4BFF">
        <w:rPr>
          <w:i/>
          <w:iCs/>
        </w:rPr>
        <w:t>crime, for the protection of health or morals or for the protection of the rights and freedoms of</w:t>
      </w:r>
      <w:r>
        <w:rPr>
          <w:i/>
          <w:iCs/>
        </w:rPr>
        <w:t xml:space="preserve"> </w:t>
      </w:r>
      <w:r w:rsidRPr="006F4BFF">
        <w:rPr>
          <w:i/>
          <w:iCs/>
        </w:rPr>
        <w:t>others.”</w:t>
      </w:r>
    </w:p>
    <w:p w:rsidR="006F4BFF" w:rsidRPr="006F4BFF" w:rsidRDefault="006F4BFF" w:rsidP="006F4BFF">
      <w:r w:rsidRPr="006F4BFF">
        <w:t>The purpose of the ‘in accordance with the law’ requirement is to provide the minimum degree of</w:t>
      </w:r>
      <w:r>
        <w:t xml:space="preserve"> </w:t>
      </w:r>
      <w:r w:rsidRPr="006F4BFF">
        <w:t>protection against arbitrariness required by the rule of law in a democratic society.</w:t>
      </w:r>
      <w:r>
        <w:rPr>
          <w:rStyle w:val="FootnoteReference"/>
        </w:rPr>
        <w:footnoteReference w:id="13"/>
      </w:r>
      <w:r w:rsidRPr="006F4BFF">
        <w:t xml:space="preserve"> To this end</w:t>
      </w:r>
      <w:r>
        <w:t xml:space="preserve"> </w:t>
      </w:r>
      <w:r w:rsidRPr="006F4BFF">
        <w:t>measures must firstly have a basis in national law and secondly have the qualities of being</w:t>
      </w:r>
      <w:r>
        <w:t xml:space="preserve"> </w:t>
      </w:r>
      <w:r w:rsidRPr="006F4BFF">
        <w:t>accessible and foreseeable in terms of consequences for those affected and compatible with the rule</w:t>
      </w:r>
      <w:r>
        <w:t xml:space="preserve"> </w:t>
      </w:r>
      <w:r w:rsidRPr="006F4BFF">
        <w:t>of law.</w:t>
      </w:r>
      <w:r>
        <w:rPr>
          <w:rStyle w:val="FootnoteReference"/>
        </w:rPr>
        <w:footnoteReference w:id="14"/>
      </w:r>
      <w:r w:rsidRPr="006F4BFF">
        <w:t xml:space="preserve"> Sections 31(5)-(6) will not change the fact that there is not a clear basis in domestic law on</w:t>
      </w:r>
      <w:r>
        <w:t xml:space="preserve"> </w:t>
      </w:r>
      <w:r w:rsidRPr="006F4BFF">
        <w:t xml:space="preserve">which to subject the incapable adult to best </w:t>
      </w:r>
      <w:proofErr w:type="gramStart"/>
      <w:r w:rsidRPr="006F4BFF">
        <w:t>interests</w:t>
      </w:r>
      <w:proofErr w:type="gramEnd"/>
      <w:r w:rsidRPr="006F4BFF">
        <w:t xml:space="preserve"> incompatible intrusions in the research</w:t>
      </w:r>
      <w:r>
        <w:t xml:space="preserve"> </w:t>
      </w:r>
      <w:r w:rsidRPr="006F4BFF">
        <w:t>context.</w:t>
      </w:r>
    </w:p>
    <w:p w:rsidR="006F4BFF" w:rsidRPr="006F4BFF" w:rsidRDefault="006F4BFF" w:rsidP="006F4BFF">
      <w:r w:rsidRPr="006F4BFF">
        <w:t>The ‘necessary in a democratic society’ requirement within Article 8(2) was interpreted by the</w:t>
      </w:r>
      <w:r>
        <w:t xml:space="preserve"> </w:t>
      </w:r>
      <w:r w:rsidRPr="006F4BFF">
        <w:t xml:space="preserve">Court in </w:t>
      </w:r>
      <w:r w:rsidRPr="006F4BFF">
        <w:rPr>
          <w:i/>
          <w:iCs/>
        </w:rPr>
        <w:t xml:space="preserve">Olsson v Sweden </w:t>
      </w:r>
      <w:r w:rsidRPr="006F4BFF">
        <w:t>(1988) A 130, para 67 as meaning that ‘an interference corresponds to a</w:t>
      </w:r>
      <w:r>
        <w:t xml:space="preserve"> </w:t>
      </w:r>
      <w:r w:rsidRPr="006F4BFF">
        <w:t>pressing social need and, in particular, that it is proportionate to the legitimate aim pursued.’</w:t>
      </w:r>
      <w:r>
        <w:t xml:space="preserve"> </w:t>
      </w:r>
      <w:r w:rsidRPr="006F4BFF">
        <w:t>Restricting the right to bodily security to help meet the needs of others could be said to be</w:t>
      </w:r>
      <w:r>
        <w:t xml:space="preserve"> </w:t>
      </w:r>
      <w:r w:rsidRPr="006F4BFF">
        <w:t>connected to the health objective under Article 8(2). However, there are a number of reasons why</w:t>
      </w:r>
      <w:r>
        <w:t xml:space="preserve"> </w:t>
      </w:r>
      <w:r w:rsidRPr="006F4BFF">
        <w:t>at the proportionality stage, if not sooner, the Court is likely to find restriction on this basis to fall</w:t>
      </w:r>
      <w:r>
        <w:t xml:space="preserve"> </w:t>
      </w:r>
      <w:r w:rsidRPr="006F4BFF">
        <w:t>short of being necessary in a democratic society.</w:t>
      </w:r>
    </w:p>
    <w:p w:rsidR="006F4BFF" w:rsidRPr="006F4BFF" w:rsidRDefault="006F4BFF" w:rsidP="006F4BFF">
      <w:r w:rsidRPr="006F4BFF">
        <w:lastRenderedPageBreak/>
        <w:t>The first of these is that trading off bodily security to meet the perceived needs of others can be</w:t>
      </w:r>
      <w:r>
        <w:t xml:space="preserve"> </w:t>
      </w:r>
      <w:r w:rsidRPr="006F4BFF">
        <w:t>construed as counterproductive and intrinsically wrong in the manner described by Mr Justice</w:t>
      </w:r>
      <w:r>
        <w:t xml:space="preserve"> </w:t>
      </w:r>
      <w:r w:rsidRPr="006F4BFF">
        <w:t xml:space="preserve">Flaherty in </w:t>
      </w:r>
      <w:r w:rsidRPr="006F4BFF">
        <w:rPr>
          <w:i/>
          <w:iCs/>
        </w:rPr>
        <w:t>McFall</w:t>
      </w:r>
      <w:r w:rsidRPr="006F4BFF">
        <w:t>.</w:t>
      </w:r>
      <w:r w:rsidR="008F64CC">
        <w:rPr>
          <w:rStyle w:val="FootnoteReference"/>
        </w:rPr>
        <w:footnoteReference w:id="15"/>
      </w:r>
      <w:r w:rsidRPr="006F4BFF">
        <w:t xml:space="preserve"> The second is that existing standards support the absolute position. Drawing</w:t>
      </w:r>
      <w:r>
        <w:t xml:space="preserve"> </w:t>
      </w:r>
      <w:r w:rsidRPr="006F4BFF">
        <w:t>on the experience of member states, the Court would find that some continental jurisdictions have</w:t>
      </w:r>
      <w:r>
        <w:t xml:space="preserve"> </w:t>
      </w:r>
      <w:r w:rsidRPr="006F4BFF">
        <w:t>a legal duty to rescue in the common accident, danger and emergency situation but that this is</w:t>
      </w:r>
      <w:r>
        <w:t xml:space="preserve"> </w:t>
      </w:r>
      <w:r w:rsidRPr="006F4BFF">
        <w:t>limited and is unlikely to justify anything of the order of trespass on the living person.</w:t>
      </w:r>
      <w:r>
        <w:t xml:space="preserve"> </w:t>
      </w:r>
      <w:r w:rsidRPr="006F4BFF">
        <w:t xml:space="preserve">Furthermore it would find the </w:t>
      </w:r>
      <w:r w:rsidRPr="006F4BFF">
        <w:rPr>
          <w:i/>
          <w:iCs/>
        </w:rPr>
        <w:t xml:space="preserve">Declaration of Helsinki </w:t>
      </w:r>
      <w:r w:rsidRPr="006F4BFF">
        <w:t xml:space="preserve">(1964) and, more especially, the </w:t>
      </w:r>
      <w:r w:rsidRPr="006F4BFF">
        <w:rPr>
          <w:i/>
          <w:iCs/>
        </w:rPr>
        <w:t>Convention</w:t>
      </w:r>
      <w:r>
        <w:rPr>
          <w:i/>
          <w:iCs/>
        </w:rPr>
        <w:t xml:space="preserve"> </w:t>
      </w:r>
      <w:r w:rsidRPr="006F4BFF">
        <w:rPr>
          <w:i/>
          <w:iCs/>
        </w:rPr>
        <w:t xml:space="preserve">on Human Rights and Biomedicine </w:t>
      </w:r>
      <w:r w:rsidRPr="006F4BFF">
        <w:t>(CHRB, 1997)</w:t>
      </w:r>
      <w:r w:rsidR="008F64CC">
        <w:rPr>
          <w:rStyle w:val="FootnoteReference"/>
        </w:rPr>
        <w:footnoteReference w:id="16"/>
      </w:r>
      <w:r w:rsidRPr="006F4BFF">
        <w:t xml:space="preserve"> persuasive and, despite their research provisions</w:t>
      </w:r>
      <w:r>
        <w:t xml:space="preserve"> </w:t>
      </w:r>
      <w:r w:rsidRPr="006F4BFF">
        <w:t>relating to the incompetent, both of these may be deemed to support absolute protection.</w:t>
      </w:r>
    </w:p>
    <w:p w:rsidR="006F4BFF" w:rsidRPr="006F4BFF" w:rsidRDefault="006F4BFF" w:rsidP="006F4BFF">
      <w:r w:rsidRPr="006F4BFF">
        <w:t>Both of these reasons would bolster the Article 3 argument. Furthermore claims under both</w:t>
      </w:r>
      <w:r>
        <w:t xml:space="preserve"> </w:t>
      </w:r>
      <w:r w:rsidRPr="006F4BFF">
        <w:t>Article 3 and 8 might be bolstered by reference to Article 14. Article 14 states that:</w:t>
      </w:r>
    </w:p>
    <w:p w:rsidR="006F4BFF" w:rsidRPr="006F4BFF" w:rsidRDefault="006F4BFF" w:rsidP="008F64CC">
      <w:pPr>
        <w:ind w:left="567" w:right="521"/>
        <w:rPr>
          <w:i/>
          <w:iCs/>
        </w:rPr>
      </w:pPr>
      <w:r w:rsidRPr="006F4BFF">
        <w:rPr>
          <w:i/>
          <w:iCs/>
        </w:rPr>
        <w:t>“The enjoyment of the rights and freedoms set forth in this Convention shall be secured without</w:t>
      </w:r>
      <w:r>
        <w:rPr>
          <w:i/>
          <w:iCs/>
        </w:rPr>
        <w:t xml:space="preserve"> </w:t>
      </w:r>
      <w:r w:rsidRPr="006F4BFF">
        <w:rPr>
          <w:i/>
          <w:iCs/>
        </w:rPr>
        <w:t>discrimination on any ground such as sex, race, colour, language, religion, political or other</w:t>
      </w:r>
      <w:r>
        <w:rPr>
          <w:i/>
          <w:iCs/>
        </w:rPr>
        <w:t xml:space="preserve"> </w:t>
      </w:r>
      <w:r w:rsidRPr="006F4BFF">
        <w:rPr>
          <w:i/>
          <w:iCs/>
        </w:rPr>
        <w:t>opinion, national or social origin, association with a national minority, property, birth or other</w:t>
      </w:r>
      <w:r>
        <w:rPr>
          <w:i/>
          <w:iCs/>
        </w:rPr>
        <w:t xml:space="preserve"> </w:t>
      </w:r>
      <w:r w:rsidRPr="006F4BFF">
        <w:rPr>
          <w:i/>
          <w:iCs/>
        </w:rPr>
        <w:t>status.”</w:t>
      </w:r>
    </w:p>
    <w:p w:rsidR="00D21CDE" w:rsidRPr="00D21CDE" w:rsidRDefault="006F4BFF" w:rsidP="00D21CDE">
      <w:r w:rsidRPr="006F4BFF">
        <w:t>It is breached where, without objective and reasonable justification persons in relevantly similar</w:t>
      </w:r>
      <w:r w:rsidR="008F64CC">
        <w:t xml:space="preserve"> </w:t>
      </w:r>
      <w:r w:rsidRPr="006F4BFF">
        <w:t>situations are treated differently or persons in relevantly dissimilar situations are treated in the</w:t>
      </w:r>
      <w:r w:rsidR="008F64CC">
        <w:t xml:space="preserve"> </w:t>
      </w:r>
      <w:r w:rsidRPr="006F4BFF">
        <w:t>same way. It is evident in this sense that Article 14 is concerned with the principle of equality. John</w:t>
      </w:r>
      <w:r w:rsidR="008F64CC">
        <w:t xml:space="preserve"> </w:t>
      </w:r>
      <w:r w:rsidRPr="006F4BFF">
        <w:t xml:space="preserve">Harris has argued in one article that moving away from best </w:t>
      </w:r>
      <w:proofErr w:type="gramStart"/>
      <w:r w:rsidRPr="006F4BFF">
        <w:t>interests</w:t>
      </w:r>
      <w:proofErr w:type="gramEnd"/>
      <w:r w:rsidRPr="006F4BFF">
        <w:t xml:space="preserve"> protection of the incapable</w:t>
      </w:r>
      <w:r w:rsidR="008F64CC">
        <w:t xml:space="preserve"> </w:t>
      </w:r>
      <w:r w:rsidRPr="006F4BFF">
        <w:t>adult is necessary to achieve equality.</w:t>
      </w:r>
      <w:r w:rsidR="008F64CC">
        <w:rPr>
          <w:rStyle w:val="FootnoteReference"/>
        </w:rPr>
        <w:footnoteReference w:id="17"/>
      </w:r>
      <w:r w:rsidRPr="006F4BFF">
        <w:t xml:space="preserve"> However, having defined equality as the principle ‘that each</w:t>
      </w:r>
      <w:r w:rsidR="008F64CC">
        <w:t xml:space="preserve"> </w:t>
      </w:r>
      <w:r w:rsidRPr="006F4BFF">
        <w:t xml:space="preserve">person is entitled to the same concern, </w:t>
      </w:r>
      <w:r w:rsidRPr="006F4BFF">
        <w:rPr>
          <w:i/>
          <w:iCs/>
        </w:rPr>
        <w:t xml:space="preserve">respect </w:t>
      </w:r>
      <w:r w:rsidRPr="006F4BFF">
        <w:t>and protection of society as is accorded to any other</w:t>
      </w:r>
      <w:r w:rsidR="008F64CC">
        <w:t xml:space="preserve"> </w:t>
      </w:r>
      <w:r w:rsidRPr="006F4BFF">
        <w:t>person in the community’ (ital. added)’</w:t>
      </w:r>
      <w:r w:rsidR="008F64CC">
        <w:rPr>
          <w:rStyle w:val="FootnoteReference"/>
        </w:rPr>
        <w:footnoteReference w:id="18"/>
      </w:r>
      <w:r w:rsidRPr="006F4BFF">
        <w:t xml:space="preserve"> he proceeds in a subsequent article to suggest that </w:t>
      </w:r>
      <w:r w:rsidR="008F64CC">
        <w:t xml:space="preserve">  r</w:t>
      </w:r>
      <w:r w:rsidRPr="006F4BFF">
        <w:t>espect</w:t>
      </w:r>
      <w:r w:rsidR="008F64CC">
        <w:t xml:space="preserve"> </w:t>
      </w:r>
      <w:r w:rsidRPr="006F4BFF">
        <w:t>entails, ‘not just respect for the choices of those competent to make them but also respect for the</w:t>
      </w:r>
      <w:r w:rsidR="008F64CC">
        <w:t xml:space="preserve"> </w:t>
      </w:r>
      <w:r w:rsidRPr="006F4BFF">
        <w:t>best interests or welfare of those who are not.’</w:t>
      </w:r>
      <w:r w:rsidR="008F64CC">
        <w:rPr>
          <w:rStyle w:val="FootnoteReference"/>
        </w:rPr>
        <w:footnoteReference w:id="19"/>
      </w:r>
      <w:r w:rsidRPr="006F4BFF">
        <w:t xml:space="preserve"> To allow capable people to agree to some research</w:t>
      </w:r>
      <w:r w:rsidR="008F64CC">
        <w:t xml:space="preserve"> </w:t>
      </w:r>
      <w:proofErr w:type="gramStart"/>
      <w:r w:rsidRPr="006F4BFF">
        <w:t>that</w:t>
      </w:r>
      <w:proofErr w:type="gramEnd"/>
      <w:r w:rsidRPr="006F4BFF">
        <w:t xml:space="preserve"> others may consider not to be in their interests whilst protecting the incapable from the same</w:t>
      </w:r>
      <w:r w:rsidR="008F64CC">
        <w:t xml:space="preserve"> </w:t>
      </w:r>
      <w:r w:rsidRPr="006F4BFF">
        <w:t>does not amount to discrimination. It simply affords the capable a choice that respect for their</w:t>
      </w:r>
      <w:r w:rsidR="00D21CDE">
        <w:t xml:space="preserve"> </w:t>
      </w:r>
      <w:r w:rsidR="00D21CDE" w:rsidRPr="00D21CDE">
        <w:t>autonomy warrants and denies the incapable that choice out of respect for the fact that, by</w:t>
      </w:r>
      <w:r w:rsidR="00D21CDE">
        <w:t xml:space="preserve"> </w:t>
      </w:r>
      <w:r w:rsidR="00D21CDE" w:rsidRPr="00D21CDE">
        <w:t>definition, they lack the capacity to properly construe what is compatible with their interests in the</w:t>
      </w:r>
      <w:r w:rsidR="00D21CDE">
        <w:t xml:space="preserve"> </w:t>
      </w:r>
      <w:r w:rsidR="00D21CDE" w:rsidRPr="00D21CDE">
        <w:t>given situation.</w:t>
      </w:r>
    </w:p>
    <w:p w:rsidR="00D21CDE" w:rsidRPr="00D21CDE" w:rsidRDefault="00D21CDE" w:rsidP="00D21CDE">
      <w:r w:rsidRPr="00D21CDE">
        <w:t>Given that selectively diluting protection of the incapable adult would be discriminatory, the</w:t>
      </w:r>
      <w:r>
        <w:t xml:space="preserve"> </w:t>
      </w:r>
      <w:r w:rsidRPr="00D21CDE">
        <w:t>remaining question from an Article 14 perspective is whether that discrimination can be</w:t>
      </w:r>
      <w:r>
        <w:t xml:space="preserve"> </w:t>
      </w:r>
      <w:r w:rsidRPr="00D21CDE">
        <w:t>objectively and reasonably justified. Much of Harris’s attempt to justify diluting protection of the</w:t>
      </w:r>
      <w:r>
        <w:t xml:space="preserve"> </w:t>
      </w:r>
      <w:r w:rsidRPr="00D21CDE">
        <w:t>incapable adult is founded on the idea that all people have a moral obligation to participate in</w:t>
      </w:r>
      <w:r>
        <w:t xml:space="preserve"> </w:t>
      </w:r>
      <w:r w:rsidRPr="00D21CDE">
        <w:t>research:</w:t>
      </w:r>
    </w:p>
    <w:p w:rsidR="00D21CDE" w:rsidRPr="00D21CDE" w:rsidRDefault="00D21CDE" w:rsidP="00D21CDE">
      <w:pPr>
        <w:ind w:left="567" w:right="521"/>
      </w:pPr>
      <w:r w:rsidRPr="00D21CDE">
        <w:rPr>
          <w:i/>
          <w:iCs/>
        </w:rPr>
        <w:lastRenderedPageBreak/>
        <w:t>“It is not plausible to believe that the costs of acting morally fall only on those competent to</w:t>
      </w:r>
      <w:r>
        <w:rPr>
          <w:i/>
          <w:iCs/>
        </w:rPr>
        <w:t xml:space="preserve"> </w:t>
      </w:r>
      <w:r w:rsidRPr="00D21CDE">
        <w:rPr>
          <w:i/>
          <w:iCs/>
        </w:rPr>
        <w:t xml:space="preserve">consent. So long as we ensure that such costs do not fall </w:t>
      </w:r>
      <w:r w:rsidRPr="00D21CDE">
        <w:t xml:space="preserve">more heavily </w:t>
      </w:r>
      <w:r w:rsidRPr="00D21CDE">
        <w:rPr>
          <w:i/>
          <w:iCs/>
        </w:rPr>
        <w:t>on those not competent to</w:t>
      </w:r>
      <w:r>
        <w:rPr>
          <w:i/>
          <w:iCs/>
        </w:rPr>
        <w:t xml:space="preserve"> </w:t>
      </w:r>
      <w:r w:rsidRPr="00D21CDE">
        <w:rPr>
          <w:i/>
          <w:iCs/>
        </w:rPr>
        <w:t>consent than on others I see no sound argument for exempting them from the demands of morality.</w:t>
      </w:r>
      <w:r>
        <w:rPr>
          <w:i/>
          <w:iCs/>
        </w:rPr>
        <w:t xml:space="preserve"> </w:t>
      </w:r>
      <w:r w:rsidRPr="00D21CDE">
        <w:rPr>
          <w:i/>
          <w:iCs/>
        </w:rPr>
        <w:t xml:space="preserve">They may not be </w:t>
      </w:r>
      <w:r w:rsidRPr="00D21CDE">
        <w:t xml:space="preserve">accountable </w:t>
      </w:r>
      <w:r w:rsidRPr="00D21CDE">
        <w:rPr>
          <w:i/>
          <w:iCs/>
        </w:rPr>
        <w:t>in law, if they do wrong, but there is no reason to ensure that they</w:t>
      </w:r>
      <w:r>
        <w:rPr>
          <w:i/>
          <w:iCs/>
        </w:rPr>
        <w:t xml:space="preserve"> </w:t>
      </w:r>
      <w:r w:rsidRPr="00D21CDE">
        <w:rPr>
          <w:i/>
          <w:iCs/>
        </w:rPr>
        <w:t>do wrong by exempting them from their moral obligations.”</w:t>
      </w:r>
      <w:r w:rsidR="004B48CA">
        <w:rPr>
          <w:rStyle w:val="FootnoteReference"/>
          <w:i/>
          <w:iCs/>
        </w:rPr>
        <w:footnoteReference w:id="20"/>
      </w:r>
      <w:r w:rsidRPr="00D21CDE">
        <w:t xml:space="preserve"> (</w:t>
      </w:r>
      <w:proofErr w:type="gramStart"/>
      <w:r w:rsidRPr="00D21CDE">
        <w:t>ital</w:t>
      </w:r>
      <w:proofErr w:type="gramEnd"/>
      <w:r w:rsidRPr="00D21CDE">
        <w:t>. added)</w:t>
      </w:r>
    </w:p>
    <w:p w:rsidR="00D21CDE" w:rsidRPr="00D21CDE" w:rsidRDefault="00D21CDE" w:rsidP="00D21CDE">
      <w:r w:rsidRPr="00D21CDE">
        <w:t>This idea is appealing to many but simplistic for at least two reasons. Firstly, it assumes that</w:t>
      </w:r>
      <w:r>
        <w:t xml:space="preserve"> </w:t>
      </w:r>
      <w:r w:rsidRPr="00D21CDE">
        <w:t>research is a beneficent activity when in fact whether or not it is depends on the context in which</w:t>
      </w:r>
      <w:r>
        <w:t xml:space="preserve"> </w:t>
      </w:r>
      <w:r w:rsidRPr="00D21CDE">
        <w:t xml:space="preserve">one is speaking. And part of the context in the West is the dominance of an </w:t>
      </w:r>
      <w:proofErr w:type="spellStart"/>
      <w:r w:rsidRPr="00D21CDE">
        <w:t>atomovistic</w:t>
      </w:r>
      <w:proofErr w:type="spellEnd"/>
      <w:r w:rsidRPr="00D21CDE">
        <w:t>,</w:t>
      </w:r>
      <w:r>
        <w:t xml:space="preserve"> </w:t>
      </w:r>
      <w:r w:rsidRPr="00D21CDE">
        <w:t>mechanistic and deterministic approach to medicine that focuses on suppression of symptoms,</w:t>
      </w:r>
      <w:r>
        <w:t xml:space="preserve"> </w:t>
      </w:r>
      <w:r w:rsidRPr="00D21CDE">
        <w:t>surgery and other inherently limited tools. The medical establishment has typically supported and</w:t>
      </w:r>
      <w:r>
        <w:t xml:space="preserve"> </w:t>
      </w:r>
      <w:r w:rsidRPr="00D21CDE">
        <w:t>perpetuated this system in preference to one based on holistic prevention and cure partly out of a</w:t>
      </w:r>
      <w:r>
        <w:t xml:space="preserve"> </w:t>
      </w:r>
      <w:r w:rsidRPr="00D21CDE">
        <w:t>misguided allegiance to a Newtonian-Cartesian paradigm of hard science that is now a century</w:t>
      </w:r>
      <w:r>
        <w:t xml:space="preserve"> </w:t>
      </w:r>
      <w:r w:rsidRPr="00D21CDE">
        <w:t>outmoded in the light of new developments in the hard sciences, especially those in the field of</w:t>
      </w:r>
      <w:r w:rsidR="004B48CA">
        <w:t xml:space="preserve"> </w:t>
      </w:r>
      <w:proofErr w:type="spellStart"/>
      <w:r w:rsidRPr="00D21CDE">
        <w:t>quantam</w:t>
      </w:r>
      <w:proofErr w:type="spellEnd"/>
      <w:r w:rsidRPr="00D21CDE">
        <w:t xml:space="preserve"> physics. What is more, vested commercial interests have underpinned the current</w:t>
      </w:r>
      <w:r w:rsidR="004B48CA">
        <w:t xml:space="preserve"> </w:t>
      </w:r>
      <w:r w:rsidRPr="00D21CDE">
        <w:t>approach not least in the research context where the focus is largely on the development of</w:t>
      </w:r>
      <w:r w:rsidR="004B48CA">
        <w:t xml:space="preserve"> </w:t>
      </w:r>
      <w:r w:rsidRPr="00D21CDE">
        <w:t>synthetic – and hence patentable – medicines. These problems link in with a second concern with</w:t>
      </w:r>
      <w:r w:rsidR="004B48CA">
        <w:t xml:space="preserve"> </w:t>
      </w:r>
      <w:r w:rsidRPr="00D21CDE">
        <w:t>Harris’s approach which is that it fails to assess the merits of pluralism. Protecting individuality,</w:t>
      </w:r>
      <w:r w:rsidR="004B48CA">
        <w:t xml:space="preserve"> </w:t>
      </w:r>
      <w:r w:rsidRPr="00D21CDE">
        <w:t>particularly in relation to choices over the body, is important both as an end in its own right and</w:t>
      </w:r>
      <w:r w:rsidR="004B48CA">
        <w:t xml:space="preserve"> </w:t>
      </w:r>
      <w:r w:rsidRPr="00D21CDE">
        <w:t>as a function of maintaining a healthy society. What is more to suggest that it should be intruded</w:t>
      </w:r>
      <w:r w:rsidR="004B48CA">
        <w:t xml:space="preserve"> </w:t>
      </w:r>
      <w:r w:rsidRPr="00D21CDE">
        <w:t>upon for supposedly beneficent purposes is politically naïve in terms of the degree of reliance it</w:t>
      </w:r>
      <w:r w:rsidR="004B48CA">
        <w:t xml:space="preserve"> </w:t>
      </w:r>
      <w:r w:rsidRPr="00D21CDE">
        <w:t>places on the rational exercise of state authority. However, Harris, whilst admitting that it would</w:t>
      </w:r>
      <w:r w:rsidR="004B48CA">
        <w:t xml:space="preserve"> </w:t>
      </w:r>
      <w:r w:rsidRPr="00D21CDE">
        <w:t>be better if research could be pursued without the use of incapable adults, suggests that if the</w:t>
      </w:r>
      <w:r w:rsidR="004B48CA">
        <w:t xml:space="preserve"> </w:t>
      </w:r>
      <w:r w:rsidRPr="00D21CDE">
        <w:t>current position;</w:t>
      </w:r>
    </w:p>
    <w:p w:rsidR="00D21CDE" w:rsidRPr="00D21CDE" w:rsidRDefault="00D21CDE" w:rsidP="004B48CA">
      <w:pPr>
        <w:ind w:left="567" w:right="521"/>
      </w:pPr>
      <w:r w:rsidRPr="00D21CDE">
        <w:rPr>
          <w:i/>
          <w:iCs/>
        </w:rPr>
        <w:t>“</w:t>
      </w:r>
      <w:proofErr w:type="gramStart"/>
      <w:r w:rsidRPr="00D21CDE">
        <w:rPr>
          <w:i/>
          <w:iCs/>
        </w:rPr>
        <w:t>jeopardises</w:t>
      </w:r>
      <w:proofErr w:type="gramEnd"/>
      <w:r w:rsidRPr="00D21CDE">
        <w:rPr>
          <w:i/>
          <w:iCs/>
        </w:rPr>
        <w:t xml:space="preserve"> our capacity to pursue well founded research then perhaps we should remember that</w:t>
      </w:r>
      <w:r w:rsidR="004B48CA">
        <w:rPr>
          <w:i/>
          <w:iCs/>
        </w:rPr>
        <w:t xml:space="preserve"> </w:t>
      </w:r>
      <w:r w:rsidRPr="00D21CDE">
        <w:rPr>
          <w:i/>
          <w:iCs/>
        </w:rPr>
        <w:t>free-riding is not an attractive principle; nor is it a moral principle. We should not ... assume that</w:t>
      </w:r>
      <w:r w:rsidR="004B48CA">
        <w:rPr>
          <w:i/>
          <w:iCs/>
        </w:rPr>
        <w:t xml:space="preserve"> </w:t>
      </w:r>
      <w:r w:rsidRPr="00D21CDE">
        <w:rPr>
          <w:i/>
          <w:iCs/>
        </w:rPr>
        <w:t>those incompetent to consent would wish to be free-riders, nor that they be excluded from</w:t>
      </w:r>
      <w:r w:rsidR="004B48CA">
        <w:rPr>
          <w:i/>
          <w:iCs/>
        </w:rPr>
        <w:t xml:space="preserve"> </w:t>
      </w:r>
      <w:r w:rsidRPr="00D21CDE">
        <w:rPr>
          <w:i/>
          <w:iCs/>
        </w:rPr>
        <w:t>discharging an obligation of good citizenship which we all share.”</w:t>
      </w:r>
      <w:r w:rsidR="004B48CA">
        <w:rPr>
          <w:rStyle w:val="FootnoteReference"/>
          <w:i/>
          <w:iCs/>
        </w:rPr>
        <w:footnoteReference w:id="21"/>
      </w:r>
    </w:p>
    <w:p w:rsidR="00D21CDE" w:rsidRPr="00D21CDE" w:rsidRDefault="00D21CDE" w:rsidP="00D21CDE">
      <w:r w:rsidRPr="00D21CDE">
        <w:t>Much the same point has been made by Gunn et al., in this Journal:</w:t>
      </w:r>
    </w:p>
    <w:p w:rsidR="00D21CDE" w:rsidRPr="00D21CDE" w:rsidRDefault="00D21CDE" w:rsidP="004B48CA">
      <w:pPr>
        <w:ind w:left="567" w:right="521"/>
      </w:pPr>
      <w:r w:rsidRPr="00D21CDE">
        <w:rPr>
          <w:i/>
          <w:iCs/>
        </w:rPr>
        <w:t>“If one wishes to gain the benefit of medical research, one has the obligation to offer oneself for</w:t>
      </w:r>
      <w:r w:rsidR="004B48CA">
        <w:rPr>
          <w:i/>
          <w:iCs/>
        </w:rPr>
        <w:t xml:space="preserve"> </w:t>
      </w:r>
      <w:r w:rsidRPr="00D21CDE">
        <w:rPr>
          <w:i/>
          <w:iCs/>
        </w:rPr>
        <w:t>participation. Otherwise, the person gaining the benefit of the research is a mere parasite on</w:t>
      </w:r>
      <w:r w:rsidR="004B48CA">
        <w:rPr>
          <w:i/>
          <w:iCs/>
        </w:rPr>
        <w:t xml:space="preserve"> </w:t>
      </w:r>
      <w:r w:rsidRPr="00D21CDE">
        <w:rPr>
          <w:i/>
          <w:iCs/>
        </w:rPr>
        <w:t>society, taking only the advantages and undertaking no risks.”</w:t>
      </w:r>
      <w:r w:rsidR="004B48CA">
        <w:rPr>
          <w:rStyle w:val="FootnoteReference"/>
          <w:i/>
          <w:iCs/>
        </w:rPr>
        <w:footnoteReference w:id="22"/>
      </w:r>
    </w:p>
    <w:p w:rsidR="004B48CA" w:rsidRPr="004B48CA" w:rsidRDefault="00D21CDE" w:rsidP="004B48CA">
      <w:r w:rsidRPr="00D21CDE">
        <w:t>Using terms like ‘free-rider’ and ‘parasite’ may serve the implicit purpose of both articles but is</w:t>
      </w:r>
      <w:r w:rsidR="004B48CA">
        <w:t xml:space="preserve"> </w:t>
      </w:r>
      <w:r w:rsidR="004B48CA" w:rsidRPr="004B48CA">
        <w:t>pejorative and highly inappropriate even if one assumes that most of the modern research effort</w:t>
      </w:r>
      <w:r w:rsidR="004B48CA">
        <w:t xml:space="preserve"> </w:t>
      </w:r>
      <w:r w:rsidR="004B48CA" w:rsidRPr="004B48CA">
        <w:t>is beneficent. Some non-participants may be making good contributions to the world in other</w:t>
      </w:r>
      <w:r w:rsidR="004B48CA">
        <w:t xml:space="preserve"> </w:t>
      </w:r>
      <w:r w:rsidR="004B48CA" w:rsidRPr="004B48CA">
        <w:t>ways. What is more, though degrees of contribution may at times be considered a valid basis on</w:t>
      </w:r>
      <w:r w:rsidR="004B48CA">
        <w:t xml:space="preserve"> </w:t>
      </w:r>
      <w:r w:rsidR="004B48CA" w:rsidRPr="004B48CA">
        <w:t>which to change the way benefits are distributed it cannot be considered, at least where something</w:t>
      </w:r>
      <w:r w:rsidR="004B48CA">
        <w:t xml:space="preserve"> </w:t>
      </w:r>
      <w:r w:rsidR="004B48CA" w:rsidRPr="004B48CA">
        <w:t>as important as the right to bodily security is concerned, a valid basis on which to change the law</w:t>
      </w:r>
      <w:r w:rsidR="004B48CA">
        <w:t xml:space="preserve"> </w:t>
      </w:r>
      <w:r w:rsidR="004B48CA" w:rsidRPr="004B48CA">
        <w:lastRenderedPageBreak/>
        <w:t>relating to contribution, let alone to do so selectively with a particular class at the cost of the</w:t>
      </w:r>
      <w:r w:rsidR="004B48CA">
        <w:t xml:space="preserve"> </w:t>
      </w:r>
      <w:r w:rsidR="004B48CA" w:rsidRPr="004B48CA">
        <w:t>principle of equality of persons.</w:t>
      </w:r>
    </w:p>
    <w:p w:rsidR="004B48CA" w:rsidRPr="004B48CA" w:rsidRDefault="004B48CA" w:rsidP="004B48CA">
      <w:r w:rsidRPr="004B48CA">
        <w:t xml:space="preserve">Gunn et al. put forward alternative arguments for moving the law away from a best </w:t>
      </w:r>
      <w:proofErr w:type="gramStart"/>
      <w:r>
        <w:t>i</w:t>
      </w:r>
      <w:r w:rsidRPr="004B48CA">
        <w:t>nterests</w:t>
      </w:r>
      <w:proofErr w:type="gramEnd"/>
      <w:r>
        <w:t xml:space="preserve"> </w:t>
      </w:r>
      <w:r w:rsidRPr="004B48CA">
        <w:t>approach all of which are clustered around the idea that such change would be beneficial for</w:t>
      </w:r>
      <w:r>
        <w:t xml:space="preserve"> </w:t>
      </w:r>
      <w:r w:rsidRPr="004B48CA">
        <w:t>incapable adults as a class. Firstly they argue that it would be,</w:t>
      </w:r>
    </w:p>
    <w:p w:rsidR="004B48CA" w:rsidRPr="004B48CA" w:rsidRDefault="004B48CA" w:rsidP="004B48CA">
      <w:pPr>
        <w:ind w:left="567" w:right="521"/>
      </w:pPr>
      <w:r w:rsidRPr="004B48CA">
        <w:rPr>
          <w:i/>
          <w:iCs/>
        </w:rPr>
        <w:t>“</w:t>
      </w:r>
      <w:proofErr w:type="gramStart"/>
      <w:r w:rsidRPr="004B48CA">
        <w:rPr>
          <w:i/>
          <w:iCs/>
        </w:rPr>
        <w:t>consistent</w:t>
      </w:r>
      <w:proofErr w:type="gramEnd"/>
      <w:r w:rsidRPr="004B48CA">
        <w:rPr>
          <w:i/>
          <w:iCs/>
        </w:rPr>
        <w:t xml:space="preserve"> with principles of normalisation and social inclusion. It challenges stereotypes that</w:t>
      </w:r>
      <w:r>
        <w:rPr>
          <w:i/>
          <w:iCs/>
        </w:rPr>
        <w:t xml:space="preserve"> </w:t>
      </w:r>
      <w:r w:rsidRPr="004B48CA">
        <w:rPr>
          <w:i/>
          <w:iCs/>
        </w:rPr>
        <w:t>incompetent adults are a drain on society.”</w:t>
      </w:r>
      <w:r>
        <w:rPr>
          <w:rStyle w:val="FootnoteReference"/>
          <w:i/>
          <w:iCs/>
        </w:rPr>
        <w:footnoteReference w:id="23"/>
      </w:r>
    </w:p>
    <w:p w:rsidR="004B48CA" w:rsidRPr="004B48CA" w:rsidRDefault="004B48CA" w:rsidP="004B48CA">
      <w:r w:rsidRPr="004B48CA">
        <w:t xml:space="preserve">In response, it may be noted that participation </w:t>
      </w:r>
      <w:r w:rsidRPr="004B48CA">
        <w:rPr>
          <w:i/>
          <w:iCs/>
        </w:rPr>
        <w:t xml:space="preserve">can </w:t>
      </w:r>
      <w:r w:rsidRPr="004B48CA">
        <w:t>have these effects for incapable adults but will</w:t>
      </w:r>
      <w:r>
        <w:t xml:space="preserve"> </w:t>
      </w:r>
      <w:r w:rsidRPr="004B48CA">
        <w:t xml:space="preserve">in fact be </w:t>
      </w:r>
      <w:proofErr w:type="spellStart"/>
      <w:r w:rsidRPr="004B48CA">
        <w:t>abnormalising</w:t>
      </w:r>
      <w:proofErr w:type="spellEnd"/>
      <w:r w:rsidRPr="004B48CA">
        <w:t xml:space="preserve"> where it is secured on a discriminatory basis. Gunn et al., also argue that</w:t>
      </w:r>
      <w:r>
        <w:t xml:space="preserve"> </w:t>
      </w:r>
      <w:r w:rsidRPr="004B48CA">
        <w:t>not moving away from a best interests approach will limit the ability to generalize research</w:t>
      </w:r>
      <w:r>
        <w:t xml:space="preserve"> </w:t>
      </w:r>
      <w:r w:rsidRPr="004B48CA">
        <w:t>outcomes to incapable adults</w:t>
      </w:r>
      <w:r>
        <w:rPr>
          <w:rStyle w:val="FootnoteReference"/>
        </w:rPr>
        <w:footnoteReference w:id="24"/>
      </w:r>
      <w:r w:rsidRPr="004B48CA">
        <w:t xml:space="preserve"> and thwart research which is more specifically for their benefit as a</w:t>
      </w:r>
      <w:r>
        <w:t xml:space="preserve"> </w:t>
      </w:r>
      <w:r w:rsidRPr="004B48CA">
        <w:t>class.</w:t>
      </w:r>
      <w:r>
        <w:rPr>
          <w:rStyle w:val="FootnoteReference"/>
        </w:rPr>
        <w:footnoteReference w:id="25"/>
      </w:r>
      <w:r w:rsidRPr="004B48CA">
        <w:t xml:space="preserve"> </w:t>
      </w:r>
      <w:proofErr w:type="spellStart"/>
      <w:r w:rsidRPr="004B48CA">
        <w:t>Solbakk</w:t>
      </w:r>
      <w:proofErr w:type="spellEnd"/>
      <w:r w:rsidRPr="004B48CA">
        <w:t xml:space="preserve"> makes a similar point in relation to children.</w:t>
      </w:r>
      <w:r>
        <w:rPr>
          <w:rStyle w:val="FootnoteReference"/>
        </w:rPr>
        <w:footnoteReference w:id="26"/>
      </w:r>
    </w:p>
    <w:p w:rsidR="004B48CA" w:rsidRPr="004B48CA" w:rsidRDefault="004B48CA" w:rsidP="004B48CA">
      <w:r w:rsidRPr="004B48CA">
        <w:t>He suggests that by protecting the incapable from being involved in research of no real and direct</w:t>
      </w:r>
      <w:r>
        <w:t xml:space="preserve"> </w:t>
      </w:r>
      <w:r w:rsidRPr="004B48CA">
        <w:t>benefit to them that is greater than minimally risky, the CHRB has encouraged a practice of</w:t>
      </w:r>
      <w:r>
        <w:t xml:space="preserve"> </w:t>
      </w:r>
      <w:r w:rsidRPr="004B48CA">
        <w:t>selecting adults in non-therapeutic research instead of children as participants and of developing</w:t>
      </w:r>
      <w:r>
        <w:t xml:space="preserve"> </w:t>
      </w:r>
      <w:r w:rsidRPr="004B48CA">
        <w:t>new standards for paediatric use on the basis of extrapolation of data from studies on adults.</w:t>
      </w:r>
      <w:r>
        <w:t xml:space="preserve"> </w:t>
      </w:r>
      <w:proofErr w:type="spellStart"/>
      <w:r w:rsidRPr="004B48CA">
        <w:t>Solbakk</w:t>
      </w:r>
      <w:proofErr w:type="spellEnd"/>
      <w:r w:rsidRPr="004B48CA">
        <w:t xml:space="preserve"> notes how critics such as Brody</w:t>
      </w:r>
      <w:r>
        <w:rPr>
          <w:rStyle w:val="FootnoteReference"/>
        </w:rPr>
        <w:footnoteReference w:id="27"/>
      </w:r>
      <w:r w:rsidRPr="004B48CA">
        <w:t xml:space="preserve"> suggest that this leads to the paradoxical situation that</w:t>
      </w:r>
      <w:r>
        <w:t xml:space="preserve"> </w:t>
      </w:r>
      <w:r w:rsidRPr="004B48CA">
        <w:t>children are often exposed to clinical decisions without appropriate guidance from research and</w:t>
      </w:r>
      <w:r>
        <w:t xml:space="preserve"> </w:t>
      </w:r>
      <w:r w:rsidRPr="004B48CA">
        <w:t>that, consequently, diseased children are in danger of becoming therapeutic orphans.</w:t>
      </w:r>
      <w:r>
        <w:rPr>
          <w:rStyle w:val="FootnoteReference"/>
        </w:rPr>
        <w:footnoteReference w:id="28"/>
      </w:r>
    </w:p>
    <w:p w:rsidR="004B48CA" w:rsidRPr="004B48CA" w:rsidRDefault="004B48CA" w:rsidP="004B48CA">
      <w:proofErr w:type="spellStart"/>
      <w:r w:rsidRPr="004B48CA">
        <w:t>Solbakk</w:t>
      </w:r>
      <w:proofErr w:type="spellEnd"/>
      <w:r w:rsidRPr="004B48CA">
        <w:t xml:space="preserve"> uses this as a platform to argue that systematically protecting children from nontherapeutic</w:t>
      </w:r>
      <w:r>
        <w:t xml:space="preserve"> </w:t>
      </w:r>
      <w:r w:rsidRPr="004B48CA">
        <w:t>research with a risk level that is greater than minimal could lead to an infringement of</w:t>
      </w:r>
      <w:r>
        <w:t xml:space="preserve"> </w:t>
      </w:r>
      <w:r w:rsidRPr="004B48CA">
        <w:t>their right to equitable access to healthcare of appropriate quality, which he notes is explicitly</w:t>
      </w:r>
      <w:r>
        <w:t xml:space="preserve"> </w:t>
      </w:r>
      <w:r w:rsidRPr="004B48CA">
        <w:t xml:space="preserve">protected by Article 3 of the </w:t>
      </w:r>
      <w:r w:rsidRPr="004B48CA">
        <w:rPr>
          <w:i/>
          <w:iCs/>
        </w:rPr>
        <w:t>CHRB</w:t>
      </w:r>
      <w:r w:rsidRPr="004B48CA">
        <w:t>.</w:t>
      </w:r>
      <w:r>
        <w:rPr>
          <w:rStyle w:val="FootnoteReference"/>
        </w:rPr>
        <w:footnoteReference w:id="29"/>
      </w:r>
      <w:r w:rsidRPr="004B48CA">
        <w:t xml:space="preserve"> However, this analysis would seem to be based on a myopic</w:t>
      </w:r>
      <w:r>
        <w:t xml:space="preserve"> </w:t>
      </w:r>
      <w:r w:rsidRPr="004B48CA">
        <w:t>and ultimately biased reading of the CHRB. Article 3 only requires states, ‘taking into account</w:t>
      </w:r>
      <w:r>
        <w:t xml:space="preserve"> </w:t>
      </w:r>
      <w:r w:rsidRPr="004B48CA">
        <w:t>health needs and available resources’, to take</w:t>
      </w:r>
    </w:p>
    <w:p w:rsidR="004B48CA" w:rsidRPr="004B48CA" w:rsidRDefault="004B48CA" w:rsidP="004B48CA">
      <w:pPr>
        <w:ind w:left="567" w:right="521"/>
        <w:rPr>
          <w:i/>
          <w:iCs/>
        </w:rPr>
      </w:pPr>
      <w:r w:rsidRPr="004B48CA">
        <w:rPr>
          <w:i/>
          <w:iCs/>
        </w:rPr>
        <w:t>“</w:t>
      </w:r>
      <w:proofErr w:type="gramStart"/>
      <w:r w:rsidRPr="004B48CA">
        <w:rPr>
          <w:i/>
          <w:iCs/>
        </w:rPr>
        <w:t>appropriate</w:t>
      </w:r>
      <w:proofErr w:type="gramEnd"/>
      <w:r w:rsidRPr="004B48CA">
        <w:rPr>
          <w:i/>
          <w:iCs/>
        </w:rPr>
        <w:t xml:space="preserve"> measures with a view to providing, within their jurisdiction, equitable access to</w:t>
      </w:r>
      <w:r>
        <w:rPr>
          <w:i/>
          <w:iCs/>
        </w:rPr>
        <w:t xml:space="preserve"> </w:t>
      </w:r>
      <w:r w:rsidRPr="004B48CA">
        <w:rPr>
          <w:i/>
          <w:iCs/>
        </w:rPr>
        <w:t>health care of appropriate quality.”</w:t>
      </w:r>
    </w:p>
    <w:p w:rsidR="00EA6F2B" w:rsidRPr="00EA6F2B" w:rsidRDefault="004B48CA" w:rsidP="00EA6F2B">
      <w:r w:rsidRPr="004B48CA">
        <w:t>It would be extremely odd if it were deemed appropriate to provide for research needs in a manner</w:t>
      </w:r>
      <w:r>
        <w:t xml:space="preserve"> </w:t>
      </w:r>
      <w:r w:rsidRPr="004B48CA">
        <w:t>that directly conflicts with Article 2 of the Convention and its sister provision, Article 3 of the</w:t>
      </w:r>
      <w:r>
        <w:t xml:space="preserve"> </w:t>
      </w:r>
      <w:r w:rsidRPr="004B48CA">
        <w:t>Additional Protocol on Biomedical Research. What is more, as I have already argued in Part 1, it</w:t>
      </w:r>
      <w:r w:rsidR="00EA6F2B">
        <w:t xml:space="preserve"> </w:t>
      </w:r>
      <w:r w:rsidR="00EA6F2B" w:rsidRPr="00EA6F2B">
        <w:t>is difficult to use the needs of a class of people to justify infringement of the rights of individuals</w:t>
      </w:r>
      <w:r w:rsidR="00EA6F2B">
        <w:t xml:space="preserve"> </w:t>
      </w:r>
      <w:r w:rsidR="00EA6F2B" w:rsidRPr="00EA6F2B">
        <w:t>who happen to be in that class. The Court of Appeal in Maryland was confronted with the issue</w:t>
      </w:r>
      <w:r w:rsidR="00EA6F2B">
        <w:t xml:space="preserve"> </w:t>
      </w:r>
      <w:r w:rsidR="00EA6F2B" w:rsidRPr="00EA6F2B">
        <w:t xml:space="preserve">in </w:t>
      </w:r>
      <w:r w:rsidR="00EA6F2B" w:rsidRPr="00EA6F2B">
        <w:rPr>
          <w:i/>
          <w:iCs/>
        </w:rPr>
        <w:t xml:space="preserve">Grimes and Higgins v Kennedy-Krieger Institute </w:t>
      </w:r>
      <w:r w:rsidR="00EA6F2B" w:rsidRPr="00EA6F2B">
        <w:t>782 A2d 807 (2001). The key facts of this case were</w:t>
      </w:r>
      <w:r w:rsidR="00EA6F2B">
        <w:t xml:space="preserve"> </w:t>
      </w:r>
      <w:r w:rsidR="00EA6F2B" w:rsidRPr="00EA6F2B">
        <w:t xml:space="preserve">that a prestigious research institute, associated with John Hopkins University, had created a </w:t>
      </w:r>
      <w:r w:rsidR="00EA6F2B" w:rsidRPr="00EA6F2B">
        <w:lastRenderedPageBreak/>
        <w:t>nontherapeutic</w:t>
      </w:r>
      <w:r w:rsidR="00EA6F2B">
        <w:t xml:space="preserve"> </w:t>
      </w:r>
      <w:r w:rsidR="00EA6F2B" w:rsidRPr="00EA6F2B">
        <w:t>research program involving certain classes of homes. Some homes, one with a child</w:t>
      </w:r>
      <w:r w:rsidR="00EA6F2B">
        <w:t xml:space="preserve"> </w:t>
      </w:r>
      <w:r w:rsidR="00EA6F2B" w:rsidRPr="00EA6F2B">
        <w:t>resident and others where families with young children were encouraged to reside by landlords</w:t>
      </w:r>
      <w:r w:rsidR="00EE5221">
        <w:t xml:space="preserve"> </w:t>
      </w:r>
      <w:r w:rsidR="00EA6F2B" w:rsidRPr="00EA6F2B">
        <w:t>complicit with researchers, were deliberately not provided with the full lead paint abatement</w:t>
      </w:r>
      <w:r w:rsidR="00EE5221">
        <w:t xml:space="preserve"> </w:t>
      </w:r>
      <w:r w:rsidR="00EA6F2B" w:rsidRPr="00EA6F2B">
        <w:t>modifications that had been provided to others. The majority concluded that:</w:t>
      </w:r>
    </w:p>
    <w:p w:rsidR="00EA6F2B" w:rsidRPr="00EA6F2B" w:rsidRDefault="00EA6F2B" w:rsidP="00EA6F2B">
      <w:pPr>
        <w:rPr>
          <w:i/>
          <w:iCs/>
        </w:rPr>
      </w:pPr>
      <w:r w:rsidRPr="00EA6F2B">
        <w:rPr>
          <w:i/>
          <w:iCs/>
        </w:rPr>
        <w:t>“Whatever the interests of a parent, and whatever the interests of the general public in fostering</w:t>
      </w:r>
      <w:r w:rsidR="00EE5221">
        <w:rPr>
          <w:i/>
          <w:iCs/>
        </w:rPr>
        <w:t xml:space="preserve"> </w:t>
      </w:r>
      <w:r w:rsidRPr="00EA6F2B">
        <w:rPr>
          <w:i/>
          <w:iCs/>
        </w:rPr>
        <w:t>research that might, according to a researcher’s hypothesis, be for the good of all children, this</w:t>
      </w:r>
      <w:r w:rsidR="00EE5221">
        <w:rPr>
          <w:i/>
          <w:iCs/>
        </w:rPr>
        <w:t xml:space="preserve"> </w:t>
      </w:r>
      <w:r w:rsidRPr="00EA6F2B">
        <w:rPr>
          <w:i/>
          <w:iCs/>
        </w:rPr>
        <w:t>Court’s concern for the particular child and particular case, over-arches all other interests. It is,</w:t>
      </w:r>
      <w:r w:rsidR="00EE5221">
        <w:rPr>
          <w:i/>
          <w:iCs/>
        </w:rPr>
        <w:t xml:space="preserve"> </w:t>
      </w:r>
      <w:r w:rsidRPr="00EA6F2B">
        <w:rPr>
          <w:i/>
          <w:iCs/>
        </w:rPr>
        <w:t>simply, and we hope, succinctly put, not in the best interest of any healthy child to be intentionally</w:t>
      </w:r>
      <w:r w:rsidR="00EE5221">
        <w:rPr>
          <w:i/>
          <w:iCs/>
        </w:rPr>
        <w:t xml:space="preserve"> </w:t>
      </w:r>
      <w:r w:rsidRPr="00EA6F2B">
        <w:rPr>
          <w:i/>
          <w:iCs/>
        </w:rPr>
        <w:t>put in a non-therapeutic situation where his or her health may be impaired, in order to test</w:t>
      </w:r>
      <w:r w:rsidR="00EE5221">
        <w:rPr>
          <w:i/>
          <w:iCs/>
        </w:rPr>
        <w:t xml:space="preserve"> </w:t>
      </w:r>
      <w:r w:rsidRPr="00EA6F2B">
        <w:rPr>
          <w:i/>
          <w:iCs/>
        </w:rPr>
        <w:t>methods that may ultimately benefit all children (para 221).”</w:t>
      </w:r>
    </w:p>
    <w:p w:rsidR="00EA6F2B" w:rsidRPr="00EA6F2B" w:rsidRDefault="00EA6F2B" w:rsidP="00EA6F2B">
      <w:r w:rsidRPr="00EA6F2B">
        <w:t>Of course it might in theory be possible to argue that if it is legitimate to trade off the right to</w:t>
      </w:r>
      <w:r w:rsidR="00EE5221">
        <w:t xml:space="preserve"> </w:t>
      </w:r>
      <w:r w:rsidRPr="00EA6F2B">
        <w:t>bodily security vis-à-vis the needs of others in extreme circumstances then participation of</w:t>
      </w:r>
      <w:r w:rsidR="00EE5221">
        <w:t xml:space="preserve"> </w:t>
      </w:r>
      <w:r w:rsidRPr="00EA6F2B">
        <w:t>incompetent adults in medical research is one such extreme circumstance. However, for common</w:t>
      </w:r>
      <w:r w:rsidR="00EE5221">
        <w:t xml:space="preserve"> </w:t>
      </w:r>
      <w:r w:rsidRPr="00EA6F2B">
        <w:t>arguments to the effect that we need to dilute protection to make progress in relation to conditions</w:t>
      </w:r>
      <w:r w:rsidR="00EE5221">
        <w:t xml:space="preserve"> </w:t>
      </w:r>
      <w:r w:rsidRPr="00EA6F2B">
        <w:t>like Alzheimer’s disease, one could substitute the argument that we need to dilute protection of all</w:t>
      </w:r>
      <w:r w:rsidR="00EE5221">
        <w:t xml:space="preserve"> </w:t>
      </w:r>
      <w:r w:rsidRPr="00EA6F2B">
        <w:t>classes of person to facilitate greater extraction of bodily material to help meet the need for</w:t>
      </w:r>
      <w:r w:rsidR="00EE5221">
        <w:t xml:space="preserve"> </w:t>
      </w:r>
      <w:r w:rsidRPr="00EA6F2B">
        <w:t>transplantation and general biotechnological advancement. Or, more specifically, we could</w:t>
      </w:r>
      <w:r w:rsidR="00EE5221">
        <w:t xml:space="preserve"> </w:t>
      </w:r>
      <w:r w:rsidRPr="00EA6F2B">
        <w:t>substitute the argument that we need to dilute protection of insensate dying persons to facilitate</w:t>
      </w:r>
      <w:r w:rsidR="00EE5221">
        <w:t xml:space="preserve"> </w:t>
      </w:r>
      <w:r w:rsidRPr="00EA6F2B">
        <w:t>the need to prepare their body for use in transplantation, medical research or medical education</w:t>
      </w:r>
      <w:r w:rsidR="00EE5221">
        <w:t xml:space="preserve"> </w:t>
      </w:r>
      <w:r w:rsidRPr="00EA6F2B">
        <w:t>after their death. Intrusive research on the incapable adult is not a special case at all but simply one</w:t>
      </w:r>
      <w:r w:rsidR="00EE5221">
        <w:t xml:space="preserve"> </w:t>
      </w:r>
      <w:r w:rsidRPr="00EA6F2B">
        <w:t>example of modern medicine’s massive reliance on the body to meet a plethora of medical needs.</w:t>
      </w:r>
    </w:p>
    <w:p w:rsidR="00EA6F2B" w:rsidRPr="00EA6F2B" w:rsidRDefault="00EA6F2B" w:rsidP="00EA6F2B">
      <w:r w:rsidRPr="00EA6F2B">
        <w:t>Given the above arguments, one may sum up this section by saying that it is extremely likely that</w:t>
      </w:r>
      <w:r w:rsidR="00EE5221">
        <w:t xml:space="preserve"> </w:t>
      </w:r>
      <w:r w:rsidRPr="00EA6F2B">
        <w:t>Article 8 and, at least in certain circumstances, Article 3 would be violated by treating the right to</w:t>
      </w:r>
      <w:r w:rsidR="00EE5221">
        <w:t xml:space="preserve"> </w:t>
      </w:r>
      <w:r w:rsidRPr="00EA6F2B">
        <w:t>bodily security as relative vis-à-vis the needs of others. This extreme likelihood rises to the level of</w:t>
      </w:r>
      <w:r w:rsidR="00EE5221">
        <w:t xml:space="preserve"> </w:t>
      </w:r>
      <w:r w:rsidRPr="00EA6F2B">
        <w:t>virtual certainty when one selects a particular class for such relative treatment.</w:t>
      </w:r>
    </w:p>
    <w:p w:rsidR="006F4BFF" w:rsidRDefault="00EA6F2B" w:rsidP="00EA6F2B">
      <w:r w:rsidRPr="00EA6F2B">
        <w:t>Nonetheless, no amount of reassurance to the effect that the formal legal position is a primacy</w:t>
      </w:r>
      <w:r w:rsidR="00EE5221">
        <w:t xml:space="preserve"> </w:t>
      </w:r>
      <w:r w:rsidRPr="00EA6F2B">
        <w:t>protective one can take away from the fact that the Government rather disingenuously sneaked</w:t>
      </w:r>
      <w:r w:rsidR="00EE5221">
        <w:t xml:space="preserve"> </w:t>
      </w:r>
      <w:r w:rsidRPr="00EA6F2B">
        <w:t>sections 31(5)-(6) into the MCA when they serve no other function than to encourage researchers</w:t>
      </w:r>
      <w:r w:rsidR="00EE5221">
        <w:t xml:space="preserve"> </w:t>
      </w:r>
      <w:r w:rsidRPr="00EA6F2B">
        <w:t>and the public at large to mistakenly view it as legitimate to deviate from a best interests approach.</w:t>
      </w:r>
      <w:r w:rsidR="00EE5221">
        <w:t xml:space="preserve"> </w:t>
      </w:r>
      <w:r w:rsidRPr="00EA6F2B">
        <w:t>The Government is on the cusp of colluding with the abuse of incapable adults. Rather than wait</w:t>
      </w:r>
      <w:r w:rsidR="00EE5221">
        <w:t xml:space="preserve"> </w:t>
      </w:r>
      <w:r w:rsidRPr="00EA6F2B">
        <w:t xml:space="preserve">for the Courts to pick up the pieces and lay out the </w:t>
      </w:r>
      <w:r w:rsidRPr="00EA6F2B">
        <w:rPr>
          <w:i/>
          <w:iCs/>
        </w:rPr>
        <w:t xml:space="preserve">actual </w:t>
      </w:r>
      <w:r w:rsidRPr="00EA6F2B">
        <w:t>(</w:t>
      </w:r>
      <w:proofErr w:type="gramStart"/>
      <w:r w:rsidRPr="00EA6F2B">
        <w:t>non</w:t>
      </w:r>
      <w:proofErr w:type="gramEnd"/>
      <w:r w:rsidRPr="00EA6F2B">
        <w:t>) effect of sections 31(5)-(6), it</w:t>
      </w:r>
      <w:r w:rsidR="00EE5221">
        <w:t xml:space="preserve"> </w:t>
      </w:r>
      <w:r w:rsidRPr="00EA6F2B">
        <w:t>should act to remove them before the Act comes into force.</w:t>
      </w:r>
    </w:p>
    <w:p w:rsidR="00EE5221" w:rsidRDefault="00EE5221" w:rsidP="00EA6F2B"/>
    <w:p w:rsidR="00EE5221" w:rsidRPr="00EE5221" w:rsidRDefault="00EE5221" w:rsidP="00EE5221">
      <w:pPr>
        <w:rPr>
          <w:b/>
          <w:bCs/>
          <w:sz w:val="24"/>
        </w:rPr>
      </w:pPr>
      <w:r w:rsidRPr="00EE5221">
        <w:rPr>
          <w:b/>
          <w:bCs/>
          <w:sz w:val="24"/>
        </w:rPr>
        <w:t>Conclusion</w:t>
      </w:r>
    </w:p>
    <w:p w:rsidR="00EE5221" w:rsidRPr="00EE5221" w:rsidRDefault="00EE5221" w:rsidP="00EE5221">
      <w:r w:rsidRPr="00EE5221">
        <w:t xml:space="preserve">In his dissenting judgment in </w:t>
      </w:r>
      <w:r w:rsidRPr="00EE5221">
        <w:rPr>
          <w:i/>
          <w:iCs/>
        </w:rPr>
        <w:t>Olmstead v United States</w:t>
      </w:r>
      <w:r w:rsidRPr="00EE5221">
        <w:t>, 277 U.S. 438, 479 (1928) Judge Brandies</w:t>
      </w:r>
      <w:r>
        <w:t xml:space="preserve"> </w:t>
      </w:r>
      <w:r w:rsidRPr="00EE5221">
        <w:t>observed that:</w:t>
      </w:r>
    </w:p>
    <w:p w:rsidR="00EE5221" w:rsidRPr="00EE5221" w:rsidRDefault="00EE5221" w:rsidP="00EE5221">
      <w:pPr>
        <w:ind w:left="567" w:right="521"/>
        <w:rPr>
          <w:i/>
          <w:iCs/>
        </w:rPr>
      </w:pPr>
      <w:r w:rsidRPr="00EE5221">
        <w:rPr>
          <w:i/>
          <w:iCs/>
        </w:rPr>
        <w:t>“Experience should teach us to be most on guard to protect liberty when the government’s purposes</w:t>
      </w:r>
      <w:r>
        <w:rPr>
          <w:i/>
          <w:iCs/>
        </w:rPr>
        <w:t xml:space="preserve"> </w:t>
      </w:r>
      <w:r w:rsidRPr="00EE5221">
        <w:rPr>
          <w:i/>
          <w:iCs/>
        </w:rPr>
        <w:t>are beneficent. Men born to freedom are naturally alert to repel invasion of their liberty by evil</w:t>
      </w:r>
      <w:r>
        <w:rPr>
          <w:i/>
          <w:iCs/>
        </w:rPr>
        <w:t>-</w:t>
      </w:r>
      <w:r w:rsidRPr="00EE5221">
        <w:rPr>
          <w:i/>
          <w:iCs/>
        </w:rPr>
        <w:t>minded</w:t>
      </w:r>
      <w:r>
        <w:rPr>
          <w:i/>
          <w:iCs/>
        </w:rPr>
        <w:t xml:space="preserve"> </w:t>
      </w:r>
      <w:r w:rsidRPr="00EE5221">
        <w:rPr>
          <w:i/>
          <w:iCs/>
        </w:rPr>
        <w:t>rulers. The greatest dangers to liberty lurk in insidious encroachment by men of zeal, well</w:t>
      </w:r>
      <w:r>
        <w:rPr>
          <w:i/>
          <w:iCs/>
        </w:rPr>
        <w:t>-</w:t>
      </w:r>
      <w:r w:rsidRPr="00EE5221">
        <w:rPr>
          <w:i/>
          <w:iCs/>
        </w:rPr>
        <w:t>meaning</w:t>
      </w:r>
      <w:r>
        <w:rPr>
          <w:i/>
          <w:iCs/>
        </w:rPr>
        <w:t xml:space="preserve"> </w:t>
      </w:r>
      <w:r w:rsidRPr="00EE5221">
        <w:rPr>
          <w:i/>
          <w:iCs/>
        </w:rPr>
        <w:t>but without understanding.”</w:t>
      </w:r>
    </w:p>
    <w:p w:rsidR="00EE5221" w:rsidRPr="00EE5221" w:rsidRDefault="00EE5221" w:rsidP="00EE5221">
      <w:r w:rsidRPr="00EE5221">
        <w:lastRenderedPageBreak/>
        <w:t>The idea of attempting to do something useful for society or science is naturally appealing.</w:t>
      </w:r>
      <w:r>
        <w:t xml:space="preserve"> </w:t>
      </w:r>
      <w:r w:rsidRPr="00EE5221">
        <w:t>However, such attempts are – like wooden horses – not always what they seem. Indeed, one may</w:t>
      </w:r>
      <w:r>
        <w:t xml:space="preserve"> </w:t>
      </w:r>
      <w:r w:rsidRPr="00EE5221">
        <w:t>even conclude that to try and benefit society or science at the cost of the individual is</w:t>
      </w:r>
      <w:r>
        <w:t xml:space="preserve"> </w:t>
      </w:r>
      <w:r w:rsidRPr="00EE5221">
        <w:t>fundamentally flawed from the outset. It is only when science and society are founded on respect</w:t>
      </w:r>
      <w:r>
        <w:t xml:space="preserve"> </w:t>
      </w:r>
      <w:r w:rsidRPr="00EE5221">
        <w:t>that they are worthwhile. Founded on anything else they simply become a mechanism for abuse.</w:t>
      </w:r>
    </w:p>
    <w:p w:rsidR="00EE5221" w:rsidRPr="00EE5221" w:rsidRDefault="00EE5221" w:rsidP="00EE5221">
      <w:r w:rsidRPr="00EE5221">
        <w:t>Much of the international community seems to have partially regressed from this realisation in the</w:t>
      </w:r>
      <w:r>
        <w:t xml:space="preserve"> </w:t>
      </w:r>
      <w:r w:rsidRPr="00EE5221">
        <w:t>research context despite having committed itself formally to it in the wake of Nazi research</w:t>
      </w:r>
      <w:r>
        <w:t xml:space="preserve"> </w:t>
      </w:r>
      <w:r w:rsidRPr="00EE5221">
        <w:t>atrocities. And whilst nothing post-World War II has matched the scale of Nazi experimental</w:t>
      </w:r>
      <w:r>
        <w:t xml:space="preserve"> </w:t>
      </w:r>
      <w:r w:rsidRPr="00EE5221">
        <w:t>depravity, there have been serious atrocities. For example, some horrific radiation experiments</w:t>
      </w:r>
      <w:r>
        <w:t xml:space="preserve"> </w:t>
      </w:r>
      <w:r w:rsidRPr="00EE5221">
        <w:t>were carried out on unknowing/uninformed servicemen and members of the public in the United</w:t>
      </w:r>
      <w:r>
        <w:t xml:space="preserve"> </w:t>
      </w:r>
      <w:r w:rsidRPr="00EE5221">
        <w:t>States from the 1940s until the early 1970s</w:t>
      </w:r>
      <w:r>
        <w:rPr>
          <w:rStyle w:val="FootnoteReference"/>
        </w:rPr>
        <w:footnoteReference w:id="30"/>
      </w:r>
      <w:r w:rsidRPr="00EE5221">
        <w:t xml:space="preserve"> and in the UK the Ministry of Defence conducted</w:t>
      </w:r>
      <w:r>
        <w:t xml:space="preserve"> </w:t>
      </w:r>
      <w:r w:rsidRPr="00EE5221">
        <w:t xml:space="preserve">experiments with chemical warfare agents on servicemen for decades at its </w:t>
      </w:r>
      <w:proofErr w:type="spellStart"/>
      <w:r w:rsidRPr="00EE5221">
        <w:t>Porton</w:t>
      </w:r>
      <w:proofErr w:type="spellEnd"/>
      <w:r w:rsidRPr="00EE5221">
        <w:t xml:space="preserve"> Down site,</w:t>
      </w:r>
      <w:r>
        <w:t xml:space="preserve"> </w:t>
      </w:r>
      <w:r w:rsidRPr="00EE5221">
        <w:t>including experiments on at least 349 servicemen with potentially deadly doses of the nerve agent</w:t>
      </w:r>
      <w:r>
        <w:t xml:space="preserve"> </w:t>
      </w:r>
      <w:proofErr w:type="spellStart"/>
      <w:r w:rsidRPr="00EE5221">
        <w:t>sarin</w:t>
      </w:r>
      <w:proofErr w:type="spellEnd"/>
      <w:r w:rsidRPr="00EE5221">
        <w:t>.</w:t>
      </w:r>
      <w:r>
        <w:rPr>
          <w:rStyle w:val="FootnoteReference"/>
        </w:rPr>
        <w:footnoteReference w:id="31"/>
      </w:r>
    </w:p>
    <w:p w:rsidR="00EE5221" w:rsidRDefault="00EE5221" w:rsidP="00EE5221">
      <w:r w:rsidRPr="00EE5221">
        <w:t>Some of these abuses have since been legally remedied,</w:t>
      </w:r>
      <w:r>
        <w:rPr>
          <w:rStyle w:val="FootnoteReference"/>
        </w:rPr>
        <w:footnoteReference w:id="32"/>
      </w:r>
      <w:r w:rsidRPr="00EE5221">
        <w:t xml:space="preserve"> but research continues to be an area ripe</w:t>
      </w:r>
      <w:r>
        <w:t xml:space="preserve"> </w:t>
      </w:r>
      <w:r w:rsidRPr="00EE5221">
        <w:t>for abuses. Many regulators, medical establishments, researchers/research entities and even</w:t>
      </w:r>
      <w:r>
        <w:t xml:space="preserve"> </w:t>
      </w:r>
      <w:r w:rsidRPr="00EE5221">
        <w:t>technically independent voices in the discourse are far too cosy with each other over an agenda</w:t>
      </w:r>
      <w:r>
        <w:t xml:space="preserve"> </w:t>
      </w:r>
      <w:r w:rsidRPr="00EE5221">
        <w:t>which consists of uncritically lauding the benefits of research whilst simultaneously failing to fully</w:t>
      </w:r>
      <w:r>
        <w:t xml:space="preserve"> </w:t>
      </w:r>
      <w:r w:rsidRPr="00EE5221">
        <w:t>respect the individual, even to the point of discrimination. Whilst some of that discrimination is</w:t>
      </w:r>
      <w:r>
        <w:t xml:space="preserve"> </w:t>
      </w:r>
      <w:r w:rsidRPr="00EE5221">
        <w:t>undoubtedly unwitting, it is important to note that research has long been a rich field for</w:t>
      </w:r>
      <w:r>
        <w:t xml:space="preserve"> </w:t>
      </w:r>
      <w:r w:rsidRPr="00EE5221">
        <w:t>opportunists to pick on the vulnerable like vultures at a carcass. It is certainly no coincidence that</w:t>
      </w:r>
      <w:r>
        <w:t xml:space="preserve"> </w:t>
      </w:r>
      <w:r w:rsidRPr="00EE5221">
        <w:t>most research abuses have been targeted against those typically less well equipped to resist them</w:t>
      </w:r>
      <w:r>
        <w:t xml:space="preserve"> </w:t>
      </w:r>
      <w:r w:rsidRPr="00EE5221">
        <w:t>such as the incapable, poor and illiterate people (particularly in developing countries</w:t>
      </w:r>
      <w:r>
        <w:rPr>
          <w:rStyle w:val="FootnoteReference"/>
        </w:rPr>
        <w:footnoteReference w:id="33"/>
      </w:r>
      <w:r w:rsidRPr="00EE5221">
        <w:t>) and (above</w:t>
      </w:r>
      <w:r>
        <w:t xml:space="preserve"> </w:t>
      </w:r>
      <w:r w:rsidRPr="00EE5221">
        <w:t>all) the animal kingdom.</w:t>
      </w:r>
      <w:bookmarkStart w:id="0" w:name="_GoBack"/>
      <w:bookmarkEnd w:id="0"/>
    </w:p>
    <w:sectPr w:rsidR="00EE5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07" w:rsidRDefault="00076907" w:rsidP="00076907">
      <w:pPr>
        <w:spacing w:after="0" w:line="240" w:lineRule="auto"/>
      </w:pPr>
      <w:r>
        <w:separator/>
      </w:r>
    </w:p>
  </w:endnote>
  <w:endnote w:type="continuationSeparator" w:id="0">
    <w:p w:rsidR="00076907" w:rsidRDefault="00076907" w:rsidP="0007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07" w:rsidRDefault="00076907" w:rsidP="00076907">
      <w:pPr>
        <w:spacing w:after="0" w:line="240" w:lineRule="auto"/>
      </w:pPr>
      <w:r>
        <w:separator/>
      </w:r>
    </w:p>
  </w:footnote>
  <w:footnote w:type="continuationSeparator" w:id="0">
    <w:p w:rsidR="00076907" w:rsidRDefault="00076907" w:rsidP="00076907">
      <w:pPr>
        <w:spacing w:after="0" w:line="240" w:lineRule="auto"/>
      </w:pPr>
      <w:r>
        <w:continuationSeparator/>
      </w:r>
    </w:p>
  </w:footnote>
  <w:footnote w:id="1">
    <w:p w:rsidR="00076907" w:rsidRPr="00163205" w:rsidRDefault="00076907" w:rsidP="00076907">
      <w:pPr>
        <w:pStyle w:val="FootnoteText"/>
        <w:rPr>
          <w:sz w:val="16"/>
        </w:rPr>
      </w:pPr>
      <w:r w:rsidRPr="00163205">
        <w:rPr>
          <w:rStyle w:val="FootnoteReference"/>
          <w:sz w:val="16"/>
        </w:rPr>
        <w:footnoteRef/>
      </w:r>
      <w:r w:rsidRPr="00163205">
        <w:rPr>
          <w:sz w:val="16"/>
        </w:rPr>
        <w:t xml:space="preserve"> </w:t>
      </w:r>
      <w:proofErr w:type="gramStart"/>
      <w:r w:rsidRPr="00163205">
        <w:rPr>
          <w:sz w:val="16"/>
        </w:rPr>
        <w:t>Senior Lecturer in Law, Nottingham Law School,</w:t>
      </w:r>
      <w:r w:rsidRPr="00163205">
        <w:rPr>
          <w:sz w:val="16"/>
        </w:rPr>
        <w:t xml:space="preserve"> </w:t>
      </w:r>
      <w:r w:rsidRPr="00163205">
        <w:rPr>
          <w:sz w:val="16"/>
        </w:rPr>
        <w:t>Nottingham Trent University.</w:t>
      </w:r>
      <w:proofErr w:type="gramEnd"/>
      <w:r w:rsidRPr="00163205">
        <w:rPr>
          <w:sz w:val="16"/>
        </w:rPr>
        <w:t xml:space="preserve"> I am very grateful to Tom</w:t>
      </w:r>
      <w:r w:rsidRPr="00163205">
        <w:rPr>
          <w:sz w:val="16"/>
        </w:rPr>
        <w:t xml:space="preserve"> </w:t>
      </w:r>
      <w:r w:rsidRPr="00163205">
        <w:rPr>
          <w:sz w:val="16"/>
        </w:rPr>
        <w:t>Lewis, also Senior Lecturer in Law at Nottingham Law</w:t>
      </w:r>
      <w:r w:rsidRPr="00163205">
        <w:rPr>
          <w:sz w:val="16"/>
        </w:rPr>
        <w:t xml:space="preserve"> </w:t>
      </w:r>
      <w:r w:rsidRPr="00163205">
        <w:rPr>
          <w:sz w:val="16"/>
        </w:rPr>
        <w:t>School, for his thoughtful comments and discussion on</w:t>
      </w:r>
      <w:r w:rsidRPr="00163205">
        <w:rPr>
          <w:sz w:val="16"/>
        </w:rPr>
        <w:t xml:space="preserve"> </w:t>
      </w:r>
      <w:r w:rsidRPr="00163205">
        <w:rPr>
          <w:sz w:val="16"/>
        </w:rPr>
        <w:t>this article.</w:t>
      </w:r>
    </w:p>
  </w:footnote>
  <w:footnote w:id="2">
    <w:p w:rsidR="00076907" w:rsidRPr="00163205" w:rsidRDefault="00076907" w:rsidP="00076907">
      <w:pPr>
        <w:pStyle w:val="FootnoteText"/>
        <w:rPr>
          <w:sz w:val="16"/>
        </w:rPr>
      </w:pPr>
      <w:r w:rsidRPr="00163205">
        <w:rPr>
          <w:rStyle w:val="FootnoteReference"/>
          <w:sz w:val="16"/>
        </w:rPr>
        <w:footnoteRef/>
      </w:r>
      <w:r w:rsidRPr="00163205">
        <w:rPr>
          <w:sz w:val="16"/>
        </w:rPr>
        <w:t xml:space="preserve"> </w:t>
      </w:r>
      <w:r w:rsidRPr="00163205">
        <w:rPr>
          <w:sz w:val="16"/>
        </w:rPr>
        <w:t>As Paragraph 10.13 of the Draft Code of Practice sent</w:t>
      </w:r>
      <w:r w:rsidRPr="00163205">
        <w:rPr>
          <w:sz w:val="16"/>
        </w:rPr>
        <w:t xml:space="preserve"> </w:t>
      </w:r>
      <w:r w:rsidRPr="00163205">
        <w:rPr>
          <w:sz w:val="16"/>
        </w:rPr>
        <w:t>out for consultation on 9 March 2006 (and available at</w:t>
      </w:r>
      <w:r w:rsidRPr="00163205">
        <w:rPr>
          <w:sz w:val="16"/>
        </w:rPr>
        <w:t xml:space="preserve"> </w:t>
      </w:r>
      <w:hyperlink r:id="rId1" w:history="1">
        <w:r w:rsidRPr="00163205">
          <w:rPr>
            <w:rStyle w:val="Hyperlink"/>
            <w:sz w:val="16"/>
          </w:rPr>
          <w:t>http://www/dca/gov.uk/consult/codepractise/draftcode0506.pdf</w:t>
        </w:r>
      </w:hyperlink>
      <w:r w:rsidRPr="00163205">
        <w:rPr>
          <w:sz w:val="16"/>
        </w:rPr>
        <w:t>)</w:t>
      </w:r>
      <w:r w:rsidRPr="00163205">
        <w:rPr>
          <w:sz w:val="16"/>
        </w:rPr>
        <w:t xml:space="preserve"> </w:t>
      </w:r>
      <w:r w:rsidRPr="00163205">
        <w:rPr>
          <w:sz w:val="16"/>
        </w:rPr>
        <w:t>notes, ‘The Secretary of State of Health (in</w:t>
      </w:r>
      <w:r w:rsidRPr="00163205">
        <w:rPr>
          <w:sz w:val="16"/>
        </w:rPr>
        <w:t xml:space="preserve"> </w:t>
      </w:r>
      <w:r w:rsidRPr="00163205">
        <w:rPr>
          <w:sz w:val="16"/>
        </w:rPr>
        <w:t>respect of England) and the National Assembly for</w:t>
      </w:r>
      <w:r w:rsidRPr="00163205">
        <w:rPr>
          <w:sz w:val="16"/>
        </w:rPr>
        <w:t xml:space="preserve"> </w:t>
      </w:r>
      <w:r w:rsidRPr="00163205">
        <w:rPr>
          <w:sz w:val="16"/>
        </w:rPr>
        <w:t>Wales (in respect of Wales) are required to set out in</w:t>
      </w:r>
      <w:r w:rsidRPr="00163205">
        <w:rPr>
          <w:sz w:val="16"/>
        </w:rPr>
        <w:t xml:space="preserve"> </w:t>
      </w:r>
      <w:r w:rsidRPr="00163205">
        <w:rPr>
          <w:sz w:val="16"/>
        </w:rPr>
        <w:t>Regulation who is the “appropriate body” to give</w:t>
      </w:r>
      <w:r w:rsidRPr="00163205">
        <w:rPr>
          <w:sz w:val="16"/>
        </w:rPr>
        <w:t xml:space="preserve"> </w:t>
      </w:r>
      <w:r w:rsidRPr="00163205">
        <w:rPr>
          <w:sz w:val="16"/>
        </w:rPr>
        <w:t>approval in relation to particular types of research</w:t>
      </w:r>
      <w:r w:rsidRPr="00163205">
        <w:rPr>
          <w:sz w:val="16"/>
        </w:rPr>
        <w:t xml:space="preserve"> </w:t>
      </w:r>
      <w:r w:rsidRPr="00163205">
        <w:rPr>
          <w:sz w:val="16"/>
        </w:rPr>
        <w:t>project. It is currently envisaged that “the appropriate</w:t>
      </w:r>
      <w:r w:rsidRPr="00163205">
        <w:rPr>
          <w:sz w:val="16"/>
        </w:rPr>
        <w:t xml:space="preserve"> </w:t>
      </w:r>
      <w:r w:rsidRPr="00163205">
        <w:rPr>
          <w:sz w:val="16"/>
        </w:rPr>
        <w:t>body” is likely to be an independent Research Ethics</w:t>
      </w:r>
      <w:r w:rsidRPr="00163205">
        <w:rPr>
          <w:sz w:val="16"/>
        </w:rPr>
        <w:t xml:space="preserve"> </w:t>
      </w:r>
      <w:r w:rsidRPr="00163205">
        <w:rPr>
          <w:sz w:val="16"/>
        </w:rPr>
        <w:t>Committee.’</w:t>
      </w:r>
    </w:p>
  </w:footnote>
  <w:footnote w:id="3">
    <w:p w:rsidR="009165B6" w:rsidRPr="009165B6" w:rsidRDefault="009165B6">
      <w:pPr>
        <w:pStyle w:val="FootnoteText"/>
        <w:rPr>
          <w:sz w:val="16"/>
        </w:rPr>
      </w:pPr>
      <w:r w:rsidRPr="009165B6">
        <w:rPr>
          <w:rStyle w:val="FootnoteReference"/>
          <w:sz w:val="16"/>
        </w:rPr>
        <w:footnoteRef/>
      </w:r>
      <w:r w:rsidRPr="009165B6">
        <w:rPr>
          <w:sz w:val="16"/>
        </w:rPr>
        <w:t xml:space="preserve"> 14 Dec 2004.</w:t>
      </w:r>
    </w:p>
  </w:footnote>
  <w:footnote w:id="4">
    <w:p w:rsidR="009165B6" w:rsidRPr="009165B6" w:rsidRDefault="009165B6" w:rsidP="009165B6">
      <w:pPr>
        <w:pStyle w:val="FootnoteText"/>
        <w:rPr>
          <w:sz w:val="16"/>
        </w:rPr>
      </w:pPr>
      <w:r w:rsidRPr="009165B6">
        <w:rPr>
          <w:rStyle w:val="FootnoteReference"/>
          <w:sz w:val="16"/>
        </w:rPr>
        <w:footnoteRef/>
      </w:r>
      <w:r w:rsidRPr="009165B6">
        <w:rPr>
          <w:sz w:val="16"/>
        </w:rPr>
        <w:t xml:space="preserve"> </w:t>
      </w:r>
      <w:r w:rsidRPr="009165B6">
        <w:rPr>
          <w:sz w:val="16"/>
        </w:rPr>
        <w:t>The ambiguity is also present in the Act’s Draft Code of</w:t>
      </w:r>
      <w:r w:rsidRPr="009165B6">
        <w:rPr>
          <w:sz w:val="16"/>
        </w:rPr>
        <w:t xml:space="preserve"> </w:t>
      </w:r>
      <w:r w:rsidRPr="009165B6">
        <w:rPr>
          <w:sz w:val="16"/>
        </w:rPr>
        <w:t>Practice sent out for consultation.</w:t>
      </w:r>
    </w:p>
  </w:footnote>
  <w:footnote w:id="5">
    <w:p w:rsidR="009165B6" w:rsidRPr="00764157" w:rsidRDefault="009165B6" w:rsidP="009165B6">
      <w:pPr>
        <w:pStyle w:val="FootnoteText"/>
        <w:rPr>
          <w:sz w:val="16"/>
        </w:rPr>
      </w:pPr>
      <w:r w:rsidRPr="00764157">
        <w:rPr>
          <w:rStyle w:val="FootnoteReference"/>
          <w:sz w:val="16"/>
        </w:rPr>
        <w:footnoteRef/>
      </w:r>
      <w:r w:rsidRPr="00764157">
        <w:rPr>
          <w:sz w:val="16"/>
        </w:rPr>
        <w:t xml:space="preserve"> </w:t>
      </w:r>
      <w:proofErr w:type="gramStart"/>
      <w:r w:rsidRPr="00764157">
        <w:rPr>
          <w:sz w:val="16"/>
        </w:rPr>
        <w:t xml:space="preserve">See further, D. Greenberg, </w:t>
      </w:r>
      <w:proofErr w:type="spellStart"/>
      <w:r w:rsidRPr="00764157">
        <w:rPr>
          <w:sz w:val="16"/>
        </w:rPr>
        <w:t>Craies</w:t>
      </w:r>
      <w:proofErr w:type="spellEnd"/>
      <w:r w:rsidRPr="00764157">
        <w:rPr>
          <w:sz w:val="16"/>
        </w:rPr>
        <w:t xml:space="preserve"> on Legislation.</w:t>
      </w:r>
      <w:proofErr w:type="gramEnd"/>
      <w:r w:rsidRPr="00764157">
        <w:rPr>
          <w:sz w:val="16"/>
        </w:rPr>
        <w:t xml:space="preserve"> </w:t>
      </w:r>
      <w:r w:rsidRPr="00764157">
        <w:rPr>
          <w:sz w:val="16"/>
        </w:rPr>
        <w:t>London: Sweet and Maxwell, 8th edition, 2004, 561</w:t>
      </w:r>
    </w:p>
  </w:footnote>
  <w:footnote w:id="6">
    <w:p w:rsidR="009165B6" w:rsidRPr="00764157" w:rsidRDefault="009165B6" w:rsidP="009165B6">
      <w:pPr>
        <w:pStyle w:val="FootnoteText"/>
        <w:rPr>
          <w:sz w:val="16"/>
        </w:rPr>
      </w:pPr>
      <w:r w:rsidRPr="00764157">
        <w:rPr>
          <w:rStyle w:val="FootnoteReference"/>
          <w:sz w:val="16"/>
        </w:rPr>
        <w:footnoteRef/>
      </w:r>
      <w:r w:rsidRPr="00764157">
        <w:rPr>
          <w:sz w:val="16"/>
        </w:rPr>
        <w:t xml:space="preserve"> </w:t>
      </w:r>
      <w:r w:rsidRPr="00764157">
        <w:rPr>
          <w:sz w:val="16"/>
        </w:rPr>
        <w:t>See e.g. Francis and Francis (a firm) v Central Criminal</w:t>
      </w:r>
      <w:r w:rsidRPr="00764157">
        <w:rPr>
          <w:sz w:val="16"/>
        </w:rPr>
        <w:t xml:space="preserve"> </w:t>
      </w:r>
      <w:r w:rsidRPr="00764157">
        <w:rPr>
          <w:sz w:val="16"/>
        </w:rPr>
        <w:t>Court [1988] 3 All ER 775.</w:t>
      </w:r>
    </w:p>
  </w:footnote>
  <w:footnote w:id="7">
    <w:p w:rsidR="009165B6" w:rsidRPr="00764157" w:rsidRDefault="009165B6" w:rsidP="009165B6">
      <w:pPr>
        <w:pStyle w:val="FootnoteText"/>
        <w:rPr>
          <w:sz w:val="16"/>
        </w:rPr>
      </w:pPr>
      <w:r w:rsidRPr="00764157">
        <w:rPr>
          <w:rStyle w:val="FootnoteReference"/>
          <w:sz w:val="16"/>
        </w:rPr>
        <w:footnoteRef/>
      </w:r>
      <w:r w:rsidRPr="00764157">
        <w:rPr>
          <w:sz w:val="16"/>
        </w:rPr>
        <w:t xml:space="preserve"> </w:t>
      </w:r>
      <w:r w:rsidRPr="00764157">
        <w:rPr>
          <w:sz w:val="16"/>
        </w:rPr>
        <w:t>This is done, for example, through the presumptions</w:t>
      </w:r>
      <w:r w:rsidRPr="00764157">
        <w:rPr>
          <w:sz w:val="16"/>
        </w:rPr>
        <w:t xml:space="preserve"> </w:t>
      </w:r>
      <w:r w:rsidRPr="00764157">
        <w:rPr>
          <w:sz w:val="16"/>
        </w:rPr>
        <w:t>against taking property with compensation (Central</w:t>
      </w:r>
      <w:r w:rsidRPr="00764157">
        <w:rPr>
          <w:sz w:val="16"/>
        </w:rPr>
        <w:t xml:space="preserve"> </w:t>
      </w:r>
      <w:r w:rsidRPr="00764157">
        <w:rPr>
          <w:sz w:val="16"/>
        </w:rPr>
        <w:t>Control Board (Liquor Traffic) v Cannon Brewery Co</w:t>
      </w:r>
      <w:r w:rsidRPr="00764157">
        <w:rPr>
          <w:sz w:val="16"/>
        </w:rPr>
        <w:t xml:space="preserve"> </w:t>
      </w:r>
      <w:r w:rsidRPr="00764157">
        <w:rPr>
          <w:sz w:val="16"/>
        </w:rPr>
        <w:t>Ltd [1919] AC 742 HL, p752); retrospective effect of</w:t>
      </w:r>
      <w:r w:rsidRPr="00764157">
        <w:rPr>
          <w:sz w:val="16"/>
        </w:rPr>
        <w:t xml:space="preserve"> </w:t>
      </w:r>
      <w:r w:rsidRPr="00764157">
        <w:rPr>
          <w:sz w:val="16"/>
        </w:rPr>
        <w:t>legislation (Waddington v Miah [1974] 1 WLR 683);</w:t>
      </w:r>
      <w:r w:rsidRPr="00764157">
        <w:rPr>
          <w:sz w:val="16"/>
        </w:rPr>
        <w:t xml:space="preserve"> </w:t>
      </w:r>
      <w:r w:rsidRPr="00764157">
        <w:rPr>
          <w:sz w:val="16"/>
        </w:rPr>
        <w:t>denial of access to the Courts (Raymond v Honey [1983]</w:t>
      </w:r>
      <w:r w:rsidRPr="00764157">
        <w:rPr>
          <w:sz w:val="16"/>
        </w:rPr>
        <w:t xml:space="preserve"> </w:t>
      </w:r>
      <w:r w:rsidRPr="00764157">
        <w:rPr>
          <w:sz w:val="16"/>
        </w:rPr>
        <w:t>1 AC 1 HL); interference with the liberty of the subject</w:t>
      </w:r>
      <w:r w:rsidRPr="00764157">
        <w:rPr>
          <w:sz w:val="16"/>
        </w:rPr>
        <w:t xml:space="preserve"> </w:t>
      </w:r>
      <w:r w:rsidRPr="00764157">
        <w:rPr>
          <w:sz w:val="16"/>
        </w:rPr>
        <w:t xml:space="preserve">(R v </w:t>
      </w:r>
      <w:proofErr w:type="spellStart"/>
      <w:r w:rsidRPr="00764157">
        <w:rPr>
          <w:sz w:val="16"/>
        </w:rPr>
        <w:t>Hallstrom</w:t>
      </w:r>
      <w:proofErr w:type="spellEnd"/>
      <w:r w:rsidRPr="00764157">
        <w:rPr>
          <w:sz w:val="16"/>
        </w:rPr>
        <w:t xml:space="preserve"> ex p W [1986] QB 1090) except in</w:t>
      </w:r>
      <w:r w:rsidRPr="00764157">
        <w:rPr>
          <w:sz w:val="16"/>
        </w:rPr>
        <w:t xml:space="preserve"> </w:t>
      </w:r>
      <w:r w:rsidRPr="00764157">
        <w:rPr>
          <w:sz w:val="16"/>
        </w:rPr>
        <w:t>wartime (R v Halliday [1917] AC 260 HL); and noncompliance</w:t>
      </w:r>
      <w:r w:rsidRPr="00764157">
        <w:rPr>
          <w:sz w:val="16"/>
        </w:rPr>
        <w:t xml:space="preserve"> </w:t>
      </w:r>
      <w:r w:rsidRPr="00764157">
        <w:rPr>
          <w:sz w:val="16"/>
        </w:rPr>
        <w:t>with international treaty obligations.</w:t>
      </w:r>
    </w:p>
  </w:footnote>
  <w:footnote w:id="8">
    <w:p w:rsidR="00764157" w:rsidRPr="00764157" w:rsidRDefault="00764157">
      <w:pPr>
        <w:pStyle w:val="FootnoteText"/>
        <w:rPr>
          <w:sz w:val="16"/>
        </w:rPr>
      </w:pPr>
      <w:r w:rsidRPr="00764157">
        <w:rPr>
          <w:rStyle w:val="FootnoteReference"/>
          <w:sz w:val="16"/>
        </w:rPr>
        <w:footnoteRef/>
      </w:r>
      <w:r w:rsidRPr="00764157">
        <w:rPr>
          <w:sz w:val="16"/>
        </w:rPr>
        <w:t xml:space="preserve"> [2000] 2 AC 115, 131, HL</w:t>
      </w:r>
    </w:p>
  </w:footnote>
  <w:footnote w:id="9">
    <w:p w:rsidR="00764157" w:rsidRPr="00764157" w:rsidRDefault="00764157">
      <w:pPr>
        <w:pStyle w:val="FootnoteText"/>
        <w:rPr>
          <w:sz w:val="16"/>
        </w:rPr>
      </w:pPr>
      <w:r w:rsidRPr="00764157">
        <w:rPr>
          <w:rStyle w:val="FootnoteReference"/>
          <w:sz w:val="16"/>
        </w:rPr>
        <w:footnoteRef/>
      </w:r>
      <w:r w:rsidRPr="00764157">
        <w:rPr>
          <w:sz w:val="16"/>
        </w:rPr>
        <w:t xml:space="preserve"> See, for example, R v Lambert [2002] 2 AC 545, HL.</w:t>
      </w:r>
    </w:p>
  </w:footnote>
  <w:footnote w:id="10">
    <w:p w:rsidR="00764157" w:rsidRPr="00764157" w:rsidRDefault="00764157" w:rsidP="00764157">
      <w:pPr>
        <w:pStyle w:val="FootnoteText"/>
        <w:rPr>
          <w:sz w:val="16"/>
        </w:rPr>
      </w:pPr>
      <w:r w:rsidRPr="00764157">
        <w:rPr>
          <w:rStyle w:val="FootnoteReference"/>
          <w:sz w:val="16"/>
        </w:rPr>
        <w:footnoteRef/>
      </w:r>
      <w:r w:rsidRPr="00764157">
        <w:rPr>
          <w:sz w:val="16"/>
        </w:rPr>
        <w:t xml:space="preserve"> </w:t>
      </w:r>
      <w:r w:rsidRPr="00764157">
        <w:rPr>
          <w:sz w:val="16"/>
        </w:rPr>
        <w:t>See, for example, Brooke LJ in Goode v Martin [2002]</w:t>
      </w:r>
      <w:r w:rsidRPr="00764157">
        <w:rPr>
          <w:sz w:val="16"/>
        </w:rPr>
        <w:t xml:space="preserve"> </w:t>
      </w:r>
      <w:r w:rsidRPr="00764157">
        <w:rPr>
          <w:sz w:val="16"/>
        </w:rPr>
        <w:t>1 ALL ER 620, 629 CA.</w:t>
      </w:r>
    </w:p>
  </w:footnote>
  <w:footnote w:id="11">
    <w:p w:rsidR="006F4BFF" w:rsidRPr="006F4BFF" w:rsidRDefault="006F4BFF">
      <w:pPr>
        <w:pStyle w:val="FootnoteText"/>
        <w:rPr>
          <w:sz w:val="16"/>
        </w:rPr>
      </w:pPr>
      <w:r w:rsidRPr="006F4BFF">
        <w:rPr>
          <w:rStyle w:val="FootnoteReference"/>
          <w:sz w:val="16"/>
        </w:rPr>
        <w:footnoteRef/>
      </w:r>
      <w:r w:rsidRPr="006F4BFF">
        <w:rPr>
          <w:sz w:val="16"/>
        </w:rPr>
        <w:t xml:space="preserve"> (1993) 15 EHRR 432, para 82</w:t>
      </w:r>
    </w:p>
  </w:footnote>
  <w:footnote w:id="12">
    <w:p w:rsidR="006F4BFF" w:rsidRPr="006F4BFF" w:rsidRDefault="006F4BFF">
      <w:pPr>
        <w:pStyle w:val="FootnoteText"/>
        <w:rPr>
          <w:sz w:val="16"/>
        </w:rPr>
      </w:pPr>
      <w:r w:rsidRPr="006F4BFF">
        <w:rPr>
          <w:rStyle w:val="FootnoteReference"/>
          <w:sz w:val="16"/>
        </w:rPr>
        <w:footnoteRef/>
      </w:r>
      <w:r w:rsidRPr="006F4BFF">
        <w:rPr>
          <w:sz w:val="16"/>
        </w:rPr>
        <w:t xml:space="preserve"> Ibid.</w:t>
      </w:r>
    </w:p>
  </w:footnote>
  <w:footnote w:id="13">
    <w:p w:rsidR="006F4BFF" w:rsidRPr="006F4BFF" w:rsidRDefault="006F4BFF" w:rsidP="006F4BFF">
      <w:pPr>
        <w:pStyle w:val="FootnoteText"/>
        <w:rPr>
          <w:sz w:val="16"/>
        </w:rPr>
      </w:pPr>
      <w:r w:rsidRPr="006F4BFF">
        <w:rPr>
          <w:rStyle w:val="FootnoteReference"/>
          <w:sz w:val="16"/>
        </w:rPr>
        <w:footnoteRef/>
      </w:r>
      <w:r w:rsidRPr="006F4BFF">
        <w:rPr>
          <w:sz w:val="16"/>
          <w:lang w:val="es-ES"/>
        </w:rPr>
        <w:t xml:space="preserve"> </w:t>
      </w:r>
      <w:proofErr w:type="spellStart"/>
      <w:r w:rsidRPr="006F4BFF">
        <w:rPr>
          <w:sz w:val="16"/>
          <w:lang w:val="es-ES"/>
        </w:rPr>
        <w:t>Herczegfalvy</w:t>
      </w:r>
      <w:proofErr w:type="spellEnd"/>
      <w:r w:rsidRPr="006F4BFF">
        <w:rPr>
          <w:sz w:val="16"/>
          <w:lang w:val="es-ES"/>
        </w:rPr>
        <w:t xml:space="preserve"> v Austria (1993) 15 EHRR 432 para 91.</w:t>
      </w:r>
      <w:r w:rsidRPr="006F4BFF">
        <w:rPr>
          <w:sz w:val="16"/>
          <w:lang w:val="es-ES"/>
        </w:rPr>
        <w:t xml:space="preserve"> </w:t>
      </w:r>
      <w:r w:rsidRPr="006F4BFF">
        <w:rPr>
          <w:sz w:val="16"/>
        </w:rPr>
        <w:t>See also McLeod v United Kingdom, Case 24755/94,</w:t>
      </w:r>
      <w:r w:rsidRPr="006F4BFF">
        <w:rPr>
          <w:sz w:val="16"/>
        </w:rPr>
        <w:t xml:space="preserve"> </w:t>
      </w:r>
      <w:r w:rsidRPr="006F4BFF">
        <w:rPr>
          <w:sz w:val="16"/>
        </w:rPr>
        <w:t xml:space="preserve">Judgment 23 September 1998 and </w:t>
      </w:r>
      <w:proofErr w:type="spellStart"/>
      <w:r w:rsidRPr="006F4BFF">
        <w:rPr>
          <w:sz w:val="16"/>
        </w:rPr>
        <w:t>Hashman</w:t>
      </w:r>
      <w:proofErr w:type="spellEnd"/>
      <w:r w:rsidRPr="006F4BFF">
        <w:rPr>
          <w:sz w:val="16"/>
        </w:rPr>
        <w:t xml:space="preserve"> and</w:t>
      </w:r>
      <w:r w:rsidRPr="006F4BFF">
        <w:rPr>
          <w:sz w:val="16"/>
        </w:rPr>
        <w:t xml:space="preserve"> </w:t>
      </w:r>
      <w:proofErr w:type="spellStart"/>
      <w:r w:rsidRPr="006F4BFF">
        <w:rPr>
          <w:sz w:val="16"/>
        </w:rPr>
        <w:t>Harrup</w:t>
      </w:r>
      <w:proofErr w:type="spellEnd"/>
      <w:r w:rsidRPr="006F4BFF">
        <w:rPr>
          <w:sz w:val="16"/>
        </w:rPr>
        <w:t xml:space="preserve"> v United Kingdom, Case 25594/94, Judgment</w:t>
      </w:r>
      <w:r w:rsidRPr="006F4BFF">
        <w:rPr>
          <w:sz w:val="16"/>
        </w:rPr>
        <w:t xml:space="preserve"> </w:t>
      </w:r>
      <w:r w:rsidRPr="006F4BFF">
        <w:rPr>
          <w:sz w:val="16"/>
        </w:rPr>
        <w:t>25 November 1999.</w:t>
      </w:r>
    </w:p>
  </w:footnote>
  <w:footnote w:id="14">
    <w:p w:rsidR="006F4BFF" w:rsidRPr="006F4BFF" w:rsidRDefault="006F4BFF">
      <w:pPr>
        <w:pStyle w:val="FootnoteText"/>
        <w:rPr>
          <w:sz w:val="16"/>
        </w:rPr>
      </w:pPr>
      <w:r w:rsidRPr="006F4BFF">
        <w:rPr>
          <w:rStyle w:val="FootnoteReference"/>
          <w:sz w:val="16"/>
        </w:rPr>
        <w:footnoteRef/>
      </w:r>
      <w:r w:rsidRPr="006F4BFF">
        <w:rPr>
          <w:sz w:val="16"/>
        </w:rPr>
        <w:t xml:space="preserve"> </w:t>
      </w:r>
      <w:proofErr w:type="gramStart"/>
      <w:r w:rsidRPr="006F4BFF">
        <w:rPr>
          <w:sz w:val="16"/>
        </w:rPr>
        <w:t>Ibid at para 88.</w:t>
      </w:r>
      <w:proofErr w:type="gramEnd"/>
    </w:p>
  </w:footnote>
  <w:footnote w:id="15">
    <w:p w:rsidR="008F64CC" w:rsidRPr="008F64CC" w:rsidRDefault="008F64CC" w:rsidP="008F64CC">
      <w:pPr>
        <w:pStyle w:val="FootnoteText"/>
        <w:rPr>
          <w:sz w:val="16"/>
        </w:rPr>
      </w:pPr>
      <w:r w:rsidRPr="008F64CC">
        <w:rPr>
          <w:rStyle w:val="FootnoteReference"/>
          <w:sz w:val="16"/>
        </w:rPr>
        <w:footnoteRef/>
      </w:r>
      <w:r w:rsidRPr="008F64CC">
        <w:rPr>
          <w:sz w:val="16"/>
        </w:rPr>
        <w:t xml:space="preserve"> </w:t>
      </w:r>
      <w:r w:rsidRPr="008F64CC">
        <w:rPr>
          <w:sz w:val="16"/>
        </w:rPr>
        <w:t>See reference to this case in the second paragraph of Part</w:t>
      </w:r>
      <w:r w:rsidRPr="008F64CC">
        <w:rPr>
          <w:sz w:val="16"/>
        </w:rPr>
        <w:t xml:space="preserve"> </w:t>
      </w:r>
      <w:r w:rsidRPr="008F64CC">
        <w:rPr>
          <w:sz w:val="16"/>
        </w:rPr>
        <w:t>I of this Article. For further discussion of the arguments</w:t>
      </w:r>
      <w:r w:rsidRPr="008F64CC">
        <w:rPr>
          <w:sz w:val="16"/>
        </w:rPr>
        <w:t xml:space="preserve"> </w:t>
      </w:r>
      <w:r w:rsidRPr="008F64CC">
        <w:rPr>
          <w:sz w:val="16"/>
        </w:rPr>
        <w:t>here see Garwood-</w:t>
      </w:r>
      <w:proofErr w:type="spellStart"/>
      <w:r w:rsidRPr="008F64CC">
        <w:rPr>
          <w:sz w:val="16"/>
        </w:rPr>
        <w:t>Gowers</w:t>
      </w:r>
      <w:proofErr w:type="spellEnd"/>
      <w:r w:rsidRPr="008F64CC">
        <w:rPr>
          <w:sz w:val="16"/>
        </w:rPr>
        <w:t>, A, ‘The Right to Bodily</w:t>
      </w:r>
      <w:r w:rsidRPr="008F64CC">
        <w:rPr>
          <w:sz w:val="16"/>
        </w:rPr>
        <w:t xml:space="preserve"> </w:t>
      </w:r>
      <w:r w:rsidRPr="008F64CC">
        <w:rPr>
          <w:sz w:val="16"/>
        </w:rPr>
        <w:t xml:space="preserve">Security Vis-à-Vis the Needs of Others,’ </w:t>
      </w:r>
      <w:proofErr w:type="spellStart"/>
      <w:r w:rsidRPr="008F64CC">
        <w:rPr>
          <w:sz w:val="16"/>
        </w:rPr>
        <w:t>Ch</w:t>
      </w:r>
      <w:proofErr w:type="spellEnd"/>
      <w:r w:rsidRPr="008F64CC">
        <w:rPr>
          <w:sz w:val="16"/>
        </w:rPr>
        <w:t xml:space="preserve"> 27 in</w:t>
      </w:r>
      <w:r w:rsidRPr="008F64CC">
        <w:rPr>
          <w:sz w:val="16"/>
        </w:rPr>
        <w:t xml:space="preserve"> </w:t>
      </w:r>
      <w:proofErr w:type="spellStart"/>
      <w:r w:rsidRPr="008F64CC">
        <w:rPr>
          <w:sz w:val="16"/>
        </w:rPr>
        <w:t>Weisstub</w:t>
      </w:r>
      <w:proofErr w:type="spellEnd"/>
      <w:r w:rsidRPr="008F64CC">
        <w:rPr>
          <w:sz w:val="16"/>
        </w:rPr>
        <w:t>, D.N., Pintos, G.D. (eds.), Autonomy and</w:t>
      </w:r>
      <w:r w:rsidRPr="008F64CC">
        <w:rPr>
          <w:sz w:val="16"/>
        </w:rPr>
        <w:t xml:space="preserve"> </w:t>
      </w:r>
      <w:r w:rsidRPr="008F64CC">
        <w:rPr>
          <w:sz w:val="16"/>
        </w:rPr>
        <w:t>Human Rights in Healthcare, 2006 (forthcoming)</w:t>
      </w:r>
      <w:r w:rsidRPr="008F64CC">
        <w:rPr>
          <w:sz w:val="16"/>
        </w:rPr>
        <w:t xml:space="preserve"> </w:t>
      </w:r>
      <w:r w:rsidRPr="008F64CC">
        <w:rPr>
          <w:sz w:val="16"/>
        </w:rPr>
        <w:t>Kluwer Academic Publishing.</w:t>
      </w:r>
    </w:p>
  </w:footnote>
  <w:footnote w:id="16">
    <w:p w:rsidR="008F64CC" w:rsidRPr="008F64CC" w:rsidRDefault="008F64CC" w:rsidP="008F64CC">
      <w:pPr>
        <w:pStyle w:val="FootnoteText"/>
        <w:rPr>
          <w:sz w:val="16"/>
        </w:rPr>
      </w:pPr>
      <w:r w:rsidRPr="008F64CC">
        <w:rPr>
          <w:rStyle w:val="FootnoteReference"/>
          <w:sz w:val="16"/>
        </w:rPr>
        <w:footnoteRef/>
      </w:r>
      <w:r w:rsidRPr="008F64CC">
        <w:rPr>
          <w:sz w:val="16"/>
        </w:rPr>
        <w:t xml:space="preserve"> </w:t>
      </w:r>
      <w:r w:rsidRPr="008F64CC">
        <w:rPr>
          <w:sz w:val="16"/>
        </w:rPr>
        <w:t>See, for example, Glass v UK [2004] 1 FLR 1019 where</w:t>
      </w:r>
      <w:r w:rsidRPr="008F64CC">
        <w:rPr>
          <w:sz w:val="16"/>
        </w:rPr>
        <w:t xml:space="preserve"> </w:t>
      </w:r>
      <w:r w:rsidRPr="008F64CC">
        <w:rPr>
          <w:sz w:val="16"/>
        </w:rPr>
        <w:t>the Court used the professional standards Articles of the</w:t>
      </w:r>
      <w:r w:rsidRPr="008F64CC">
        <w:rPr>
          <w:sz w:val="16"/>
        </w:rPr>
        <w:t xml:space="preserve"> </w:t>
      </w:r>
      <w:r w:rsidRPr="008F64CC">
        <w:rPr>
          <w:sz w:val="16"/>
        </w:rPr>
        <w:t>CHRB in order to help it reach the conclusion that a</w:t>
      </w:r>
      <w:r w:rsidRPr="008F64CC">
        <w:rPr>
          <w:sz w:val="16"/>
        </w:rPr>
        <w:t xml:space="preserve"> </w:t>
      </w:r>
      <w:r w:rsidRPr="008F64CC">
        <w:rPr>
          <w:sz w:val="16"/>
        </w:rPr>
        <w:t>hospital’s failure to involve the courts in a dispute about</w:t>
      </w:r>
      <w:r w:rsidRPr="008F64CC">
        <w:rPr>
          <w:sz w:val="16"/>
        </w:rPr>
        <w:t xml:space="preserve"> </w:t>
      </w:r>
      <w:r w:rsidRPr="008F64CC">
        <w:rPr>
          <w:sz w:val="16"/>
        </w:rPr>
        <w:t>the care of a minor and to proceed with administering</w:t>
      </w:r>
      <w:r w:rsidRPr="008F64CC">
        <w:rPr>
          <w:sz w:val="16"/>
        </w:rPr>
        <w:t xml:space="preserve"> </w:t>
      </w:r>
      <w:proofErr w:type="spellStart"/>
      <w:r w:rsidRPr="008F64CC">
        <w:rPr>
          <w:sz w:val="16"/>
        </w:rPr>
        <w:t>diamorphine</w:t>
      </w:r>
      <w:proofErr w:type="spellEnd"/>
      <w:r w:rsidRPr="008F64CC">
        <w:rPr>
          <w:sz w:val="16"/>
        </w:rPr>
        <w:t xml:space="preserve"> with the consent of the child’s legal</w:t>
      </w:r>
      <w:r w:rsidRPr="008F64CC">
        <w:rPr>
          <w:sz w:val="16"/>
        </w:rPr>
        <w:t xml:space="preserve"> </w:t>
      </w:r>
      <w:r w:rsidRPr="008F64CC">
        <w:rPr>
          <w:sz w:val="16"/>
        </w:rPr>
        <w:t>representatives (the parents in this case) breached the</w:t>
      </w:r>
      <w:r w:rsidRPr="008F64CC">
        <w:rPr>
          <w:sz w:val="16"/>
        </w:rPr>
        <w:t xml:space="preserve"> </w:t>
      </w:r>
      <w:r w:rsidRPr="008F64CC">
        <w:rPr>
          <w:sz w:val="16"/>
        </w:rPr>
        <w:t>child’s Art 8 right to private life and could not be</w:t>
      </w:r>
      <w:r w:rsidRPr="008F64CC">
        <w:rPr>
          <w:sz w:val="16"/>
        </w:rPr>
        <w:t xml:space="preserve"> </w:t>
      </w:r>
      <w:r w:rsidRPr="008F64CC">
        <w:rPr>
          <w:sz w:val="16"/>
        </w:rPr>
        <w:t>justified under Art 8(2) because it did not fulfil the</w:t>
      </w:r>
      <w:r w:rsidRPr="008F64CC">
        <w:rPr>
          <w:sz w:val="16"/>
        </w:rPr>
        <w:t xml:space="preserve"> </w:t>
      </w:r>
      <w:r w:rsidRPr="008F64CC">
        <w:rPr>
          <w:sz w:val="16"/>
        </w:rPr>
        <w:t>necessity requirement. The CHRB is partly designed to</w:t>
      </w:r>
      <w:r w:rsidRPr="008F64CC">
        <w:rPr>
          <w:sz w:val="16"/>
        </w:rPr>
        <w:t xml:space="preserve"> </w:t>
      </w:r>
      <w:r w:rsidRPr="008F64CC">
        <w:rPr>
          <w:sz w:val="16"/>
        </w:rPr>
        <w:t>elaborate the standards that should underpin assessment</w:t>
      </w:r>
      <w:r w:rsidRPr="008F64CC">
        <w:rPr>
          <w:sz w:val="16"/>
        </w:rPr>
        <w:t xml:space="preserve"> </w:t>
      </w:r>
      <w:r w:rsidRPr="008F64CC">
        <w:rPr>
          <w:sz w:val="16"/>
        </w:rPr>
        <w:t>of ECHR rights in the context of biology and medicine.</w:t>
      </w:r>
      <w:r w:rsidRPr="008F64CC">
        <w:rPr>
          <w:sz w:val="16"/>
        </w:rPr>
        <w:t xml:space="preserve"> </w:t>
      </w:r>
      <w:r w:rsidRPr="008F64CC">
        <w:rPr>
          <w:sz w:val="16"/>
        </w:rPr>
        <w:t>See Part I of this Article for further consideration of</w:t>
      </w:r>
      <w:r w:rsidRPr="008F64CC">
        <w:rPr>
          <w:sz w:val="16"/>
        </w:rPr>
        <w:t xml:space="preserve"> </w:t>
      </w:r>
      <w:r w:rsidRPr="008F64CC">
        <w:rPr>
          <w:sz w:val="16"/>
        </w:rPr>
        <w:t>both the Declaration of Helsinki and the CHRB</w:t>
      </w:r>
    </w:p>
  </w:footnote>
  <w:footnote w:id="17">
    <w:p w:rsidR="008F64CC" w:rsidRPr="008F64CC" w:rsidRDefault="008F64CC" w:rsidP="008F64CC">
      <w:pPr>
        <w:pStyle w:val="FootnoteText"/>
        <w:rPr>
          <w:sz w:val="16"/>
        </w:rPr>
      </w:pPr>
      <w:r w:rsidRPr="008F64CC">
        <w:rPr>
          <w:rStyle w:val="FootnoteReference"/>
          <w:sz w:val="16"/>
        </w:rPr>
        <w:footnoteRef/>
      </w:r>
      <w:r w:rsidRPr="008F64CC">
        <w:rPr>
          <w:sz w:val="16"/>
        </w:rPr>
        <w:t xml:space="preserve"> </w:t>
      </w:r>
      <w:r w:rsidRPr="008F64CC">
        <w:rPr>
          <w:sz w:val="16"/>
        </w:rPr>
        <w:t>Harris, J, ‘The Ethics of Clinical Research with</w:t>
      </w:r>
      <w:r w:rsidRPr="008F64CC">
        <w:rPr>
          <w:sz w:val="16"/>
        </w:rPr>
        <w:t xml:space="preserve"> </w:t>
      </w:r>
      <w:r w:rsidRPr="008F64CC">
        <w:rPr>
          <w:sz w:val="16"/>
        </w:rPr>
        <w:t xml:space="preserve">Cognitively Impaired Subjects’ (1997) 5 Ital J </w:t>
      </w:r>
      <w:proofErr w:type="spellStart"/>
      <w:r w:rsidRPr="008F64CC">
        <w:rPr>
          <w:sz w:val="16"/>
        </w:rPr>
        <w:t>Neurol</w:t>
      </w:r>
      <w:proofErr w:type="spellEnd"/>
      <w:r w:rsidRPr="008F64CC">
        <w:rPr>
          <w:sz w:val="16"/>
        </w:rPr>
        <w:t xml:space="preserve"> </w:t>
      </w:r>
      <w:proofErr w:type="spellStart"/>
      <w:r w:rsidRPr="008F64CC">
        <w:rPr>
          <w:sz w:val="16"/>
        </w:rPr>
        <w:t>Sci</w:t>
      </w:r>
      <w:proofErr w:type="spellEnd"/>
      <w:r w:rsidRPr="008F64CC">
        <w:rPr>
          <w:sz w:val="16"/>
        </w:rPr>
        <w:t xml:space="preserve"> </w:t>
      </w:r>
      <w:proofErr w:type="spellStart"/>
      <w:r w:rsidRPr="008F64CC">
        <w:rPr>
          <w:sz w:val="16"/>
        </w:rPr>
        <w:t>Suppl</w:t>
      </w:r>
      <w:proofErr w:type="spellEnd"/>
      <w:r w:rsidRPr="008F64CC">
        <w:rPr>
          <w:sz w:val="16"/>
        </w:rPr>
        <w:t xml:space="preserve"> 9–13. See also Harris, J, ‘Scientific Research</w:t>
      </w:r>
      <w:r w:rsidRPr="008F64CC">
        <w:rPr>
          <w:sz w:val="16"/>
        </w:rPr>
        <w:t xml:space="preserve"> </w:t>
      </w:r>
      <w:r w:rsidRPr="008F64CC">
        <w:rPr>
          <w:sz w:val="16"/>
        </w:rPr>
        <w:t>as a Moral Duty’ (2005) 31 JME 242-8</w:t>
      </w:r>
    </w:p>
  </w:footnote>
  <w:footnote w:id="18">
    <w:p w:rsidR="008F64CC" w:rsidRPr="008F64CC" w:rsidRDefault="008F64CC">
      <w:pPr>
        <w:pStyle w:val="FootnoteText"/>
        <w:rPr>
          <w:sz w:val="16"/>
        </w:rPr>
      </w:pPr>
      <w:r w:rsidRPr="008F64CC">
        <w:rPr>
          <w:rStyle w:val="FootnoteReference"/>
          <w:sz w:val="16"/>
        </w:rPr>
        <w:footnoteRef/>
      </w:r>
      <w:r w:rsidRPr="008F64CC">
        <w:rPr>
          <w:sz w:val="16"/>
        </w:rPr>
        <w:t xml:space="preserve"> </w:t>
      </w:r>
      <w:proofErr w:type="gramStart"/>
      <w:r w:rsidRPr="008F64CC">
        <w:rPr>
          <w:sz w:val="16"/>
        </w:rPr>
        <w:t>Ibid at 12.</w:t>
      </w:r>
      <w:proofErr w:type="gramEnd"/>
    </w:p>
  </w:footnote>
  <w:footnote w:id="19">
    <w:p w:rsidR="008F64CC" w:rsidRPr="008F64CC" w:rsidRDefault="008F64CC" w:rsidP="008F64CC">
      <w:pPr>
        <w:pStyle w:val="FootnoteText"/>
        <w:rPr>
          <w:sz w:val="16"/>
        </w:rPr>
      </w:pPr>
      <w:r w:rsidRPr="008F64CC">
        <w:rPr>
          <w:rStyle w:val="FootnoteReference"/>
          <w:sz w:val="16"/>
        </w:rPr>
        <w:footnoteRef/>
      </w:r>
      <w:r w:rsidRPr="008F64CC">
        <w:rPr>
          <w:sz w:val="16"/>
        </w:rPr>
        <w:t xml:space="preserve"> </w:t>
      </w:r>
      <w:r w:rsidRPr="008F64CC">
        <w:rPr>
          <w:sz w:val="16"/>
        </w:rPr>
        <w:t>Harris, J, ‘Law and Regulation of Retained Organs:</w:t>
      </w:r>
      <w:r w:rsidRPr="008F64CC">
        <w:rPr>
          <w:sz w:val="16"/>
        </w:rPr>
        <w:t xml:space="preserve"> </w:t>
      </w:r>
      <w:r w:rsidRPr="008F64CC">
        <w:rPr>
          <w:sz w:val="16"/>
        </w:rPr>
        <w:t>The Ethical Issues’ (2002) 22(4) Legal Studies 527 at</w:t>
      </w:r>
      <w:r w:rsidRPr="008F64CC">
        <w:rPr>
          <w:sz w:val="16"/>
        </w:rPr>
        <w:t xml:space="preserve"> </w:t>
      </w:r>
      <w:r w:rsidRPr="008F64CC">
        <w:rPr>
          <w:sz w:val="16"/>
        </w:rPr>
        <w:t>529.</w:t>
      </w:r>
    </w:p>
  </w:footnote>
  <w:footnote w:id="20">
    <w:p w:rsidR="004B48CA" w:rsidRPr="004B48CA" w:rsidRDefault="004B48CA">
      <w:pPr>
        <w:pStyle w:val="FootnoteText"/>
        <w:rPr>
          <w:sz w:val="16"/>
        </w:rPr>
      </w:pPr>
      <w:r w:rsidRPr="004B48CA">
        <w:rPr>
          <w:rStyle w:val="FootnoteReference"/>
          <w:sz w:val="16"/>
        </w:rPr>
        <w:footnoteRef/>
      </w:r>
      <w:r w:rsidRPr="004B48CA">
        <w:rPr>
          <w:sz w:val="16"/>
        </w:rPr>
        <w:t xml:space="preserve"> </w:t>
      </w:r>
      <w:proofErr w:type="gramStart"/>
      <w:r w:rsidRPr="004B48CA">
        <w:rPr>
          <w:sz w:val="16"/>
        </w:rPr>
        <w:t>Ibid 12.</w:t>
      </w:r>
      <w:proofErr w:type="gramEnd"/>
    </w:p>
  </w:footnote>
  <w:footnote w:id="21">
    <w:p w:rsidR="004B48CA" w:rsidRPr="004B48CA" w:rsidRDefault="004B48CA">
      <w:pPr>
        <w:pStyle w:val="FootnoteText"/>
        <w:rPr>
          <w:sz w:val="16"/>
        </w:rPr>
      </w:pPr>
      <w:r w:rsidRPr="004B48CA">
        <w:rPr>
          <w:rStyle w:val="FootnoteReference"/>
          <w:sz w:val="16"/>
        </w:rPr>
        <w:footnoteRef/>
      </w:r>
      <w:r w:rsidRPr="004B48CA">
        <w:rPr>
          <w:sz w:val="16"/>
        </w:rPr>
        <w:t xml:space="preserve"> </w:t>
      </w:r>
      <w:proofErr w:type="gramStart"/>
      <w:r w:rsidRPr="004B48CA">
        <w:rPr>
          <w:sz w:val="16"/>
        </w:rPr>
        <w:t>Ibid 13.</w:t>
      </w:r>
      <w:proofErr w:type="gramEnd"/>
    </w:p>
  </w:footnote>
  <w:footnote w:id="22">
    <w:p w:rsidR="004B48CA" w:rsidRPr="004B48CA" w:rsidRDefault="004B48CA" w:rsidP="004B48CA">
      <w:pPr>
        <w:pStyle w:val="FootnoteText"/>
        <w:rPr>
          <w:sz w:val="16"/>
        </w:rPr>
      </w:pPr>
      <w:r w:rsidRPr="004B48CA">
        <w:rPr>
          <w:rStyle w:val="FootnoteReference"/>
          <w:sz w:val="16"/>
        </w:rPr>
        <w:footnoteRef/>
      </w:r>
      <w:r w:rsidRPr="004B48CA">
        <w:rPr>
          <w:sz w:val="16"/>
        </w:rPr>
        <w:t xml:space="preserve"> </w:t>
      </w:r>
      <w:proofErr w:type="gramStart"/>
      <w:r w:rsidRPr="004B48CA">
        <w:rPr>
          <w:sz w:val="16"/>
        </w:rPr>
        <w:t>‘Medical Research on Incompetent Adults’ (2000)</w:t>
      </w:r>
      <w:r w:rsidRPr="004B48CA">
        <w:rPr>
          <w:sz w:val="16"/>
        </w:rPr>
        <w:t xml:space="preserve"> </w:t>
      </w:r>
      <w:r w:rsidRPr="004B48CA">
        <w:rPr>
          <w:sz w:val="16"/>
        </w:rPr>
        <w:t>Journal of Mental Health Law, 60 at 63.</w:t>
      </w:r>
      <w:proofErr w:type="gramEnd"/>
    </w:p>
  </w:footnote>
  <w:footnote w:id="23">
    <w:p w:rsidR="004B48CA" w:rsidRPr="004B48CA" w:rsidRDefault="004B48CA">
      <w:pPr>
        <w:pStyle w:val="FootnoteText"/>
        <w:rPr>
          <w:sz w:val="16"/>
        </w:rPr>
      </w:pPr>
      <w:r w:rsidRPr="004B48CA">
        <w:rPr>
          <w:rStyle w:val="FootnoteReference"/>
          <w:sz w:val="16"/>
        </w:rPr>
        <w:footnoteRef/>
      </w:r>
      <w:r w:rsidRPr="004B48CA">
        <w:rPr>
          <w:sz w:val="16"/>
        </w:rPr>
        <w:t xml:space="preserve"> Ibid.</w:t>
      </w:r>
    </w:p>
  </w:footnote>
  <w:footnote w:id="24">
    <w:p w:rsidR="004B48CA" w:rsidRPr="004B48CA" w:rsidRDefault="004B48CA">
      <w:pPr>
        <w:pStyle w:val="FootnoteText"/>
        <w:rPr>
          <w:sz w:val="16"/>
        </w:rPr>
      </w:pPr>
      <w:r w:rsidRPr="004B48CA">
        <w:rPr>
          <w:rStyle w:val="FootnoteReference"/>
          <w:sz w:val="16"/>
        </w:rPr>
        <w:footnoteRef/>
      </w:r>
      <w:r w:rsidRPr="004B48CA">
        <w:rPr>
          <w:sz w:val="16"/>
        </w:rPr>
        <w:t xml:space="preserve"> Ibid.</w:t>
      </w:r>
    </w:p>
  </w:footnote>
  <w:footnote w:id="25">
    <w:p w:rsidR="004B48CA" w:rsidRPr="004B48CA" w:rsidRDefault="004B48CA">
      <w:pPr>
        <w:pStyle w:val="FootnoteText"/>
        <w:rPr>
          <w:sz w:val="16"/>
        </w:rPr>
      </w:pPr>
      <w:r w:rsidRPr="004B48CA">
        <w:rPr>
          <w:rStyle w:val="FootnoteReference"/>
          <w:sz w:val="16"/>
        </w:rPr>
        <w:footnoteRef/>
      </w:r>
      <w:r w:rsidRPr="004B48CA">
        <w:rPr>
          <w:sz w:val="16"/>
        </w:rPr>
        <w:t xml:space="preserve"> </w:t>
      </w:r>
      <w:proofErr w:type="gramStart"/>
      <w:r w:rsidRPr="004B48CA">
        <w:rPr>
          <w:sz w:val="16"/>
        </w:rPr>
        <w:t>Ibid 61.</w:t>
      </w:r>
      <w:proofErr w:type="gramEnd"/>
    </w:p>
  </w:footnote>
  <w:footnote w:id="26">
    <w:p w:rsidR="004B48CA" w:rsidRPr="004B48CA" w:rsidRDefault="004B48CA" w:rsidP="004B48CA">
      <w:pPr>
        <w:pStyle w:val="FootnoteText"/>
        <w:rPr>
          <w:sz w:val="16"/>
        </w:rPr>
      </w:pPr>
      <w:r w:rsidRPr="004B48CA">
        <w:rPr>
          <w:rStyle w:val="FootnoteReference"/>
          <w:sz w:val="16"/>
        </w:rPr>
        <w:footnoteRef/>
      </w:r>
      <w:r w:rsidRPr="004B48CA">
        <w:rPr>
          <w:sz w:val="16"/>
        </w:rPr>
        <w:t xml:space="preserve"> </w:t>
      </w:r>
      <w:proofErr w:type="spellStart"/>
      <w:r w:rsidRPr="004B48CA">
        <w:rPr>
          <w:sz w:val="16"/>
        </w:rPr>
        <w:t>Solbakk</w:t>
      </w:r>
      <w:proofErr w:type="spellEnd"/>
      <w:r w:rsidRPr="004B48CA">
        <w:rPr>
          <w:sz w:val="16"/>
        </w:rPr>
        <w:t>, J.H., ‘Uses and abuses of biomedical</w:t>
      </w:r>
      <w:r w:rsidRPr="004B48CA">
        <w:rPr>
          <w:sz w:val="16"/>
        </w:rPr>
        <w:t xml:space="preserve"> </w:t>
      </w:r>
      <w:r w:rsidRPr="004B48CA">
        <w:rPr>
          <w:sz w:val="16"/>
        </w:rPr>
        <w:t>research,’ p35–50 in Council of Europe Publishing</w:t>
      </w:r>
      <w:r w:rsidRPr="004B48CA">
        <w:rPr>
          <w:sz w:val="16"/>
        </w:rPr>
        <w:t xml:space="preserve"> </w:t>
      </w:r>
      <w:r w:rsidRPr="004B48CA">
        <w:rPr>
          <w:sz w:val="16"/>
        </w:rPr>
        <w:t>(ed.), Biomedical Research, Council of Europe, October</w:t>
      </w:r>
      <w:r w:rsidRPr="004B48CA">
        <w:rPr>
          <w:sz w:val="16"/>
        </w:rPr>
        <w:t xml:space="preserve"> </w:t>
      </w:r>
      <w:r w:rsidRPr="004B48CA">
        <w:rPr>
          <w:sz w:val="16"/>
        </w:rPr>
        <w:t>2004.</w:t>
      </w:r>
    </w:p>
  </w:footnote>
  <w:footnote w:id="27">
    <w:p w:rsidR="004B48CA" w:rsidRPr="004B48CA" w:rsidRDefault="004B48CA" w:rsidP="004B48CA">
      <w:pPr>
        <w:pStyle w:val="FootnoteText"/>
        <w:rPr>
          <w:sz w:val="16"/>
        </w:rPr>
      </w:pPr>
      <w:r w:rsidRPr="004B48CA">
        <w:rPr>
          <w:rStyle w:val="FootnoteReference"/>
          <w:sz w:val="16"/>
        </w:rPr>
        <w:footnoteRef/>
      </w:r>
      <w:r w:rsidRPr="004B48CA">
        <w:rPr>
          <w:sz w:val="16"/>
        </w:rPr>
        <w:t xml:space="preserve"> </w:t>
      </w:r>
      <w:r w:rsidRPr="004B48CA">
        <w:rPr>
          <w:sz w:val="16"/>
        </w:rPr>
        <w:t xml:space="preserve">Brody, B, </w:t>
      </w:r>
      <w:proofErr w:type="gramStart"/>
      <w:r w:rsidRPr="004B48CA">
        <w:rPr>
          <w:sz w:val="16"/>
        </w:rPr>
        <w:t>The</w:t>
      </w:r>
      <w:proofErr w:type="gramEnd"/>
      <w:r w:rsidRPr="004B48CA">
        <w:rPr>
          <w:sz w:val="16"/>
        </w:rPr>
        <w:t xml:space="preserve"> Ethics of Biomedical Research; An</w:t>
      </w:r>
      <w:r w:rsidRPr="004B48CA">
        <w:rPr>
          <w:sz w:val="16"/>
        </w:rPr>
        <w:t xml:space="preserve"> </w:t>
      </w:r>
      <w:r w:rsidRPr="004B48CA">
        <w:rPr>
          <w:sz w:val="16"/>
        </w:rPr>
        <w:t>International Perspective, 1998, New York, Oxford</w:t>
      </w:r>
      <w:r w:rsidRPr="004B48CA">
        <w:rPr>
          <w:sz w:val="16"/>
        </w:rPr>
        <w:t xml:space="preserve"> </w:t>
      </w:r>
      <w:r w:rsidRPr="004B48CA">
        <w:rPr>
          <w:sz w:val="16"/>
        </w:rPr>
        <w:t>University Press 177.</w:t>
      </w:r>
    </w:p>
  </w:footnote>
  <w:footnote w:id="28">
    <w:p w:rsidR="004B48CA" w:rsidRPr="004B48CA" w:rsidRDefault="004B48CA">
      <w:pPr>
        <w:pStyle w:val="FootnoteText"/>
        <w:rPr>
          <w:sz w:val="16"/>
        </w:rPr>
      </w:pPr>
      <w:r w:rsidRPr="004B48CA">
        <w:rPr>
          <w:rStyle w:val="FootnoteReference"/>
          <w:sz w:val="16"/>
        </w:rPr>
        <w:footnoteRef/>
      </w:r>
      <w:r w:rsidRPr="004B48CA">
        <w:rPr>
          <w:sz w:val="16"/>
        </w:rPr>
        <w:t xml:space="preserve"> </w:t>
      </w:r>
      <w:proofErr w:type="gramStart"/>
      <w:r w:rsidRPr="004B48CA">
        <w:rPr>
          <w:sz w:val="16"/>
        </w:rPr>
        <w:t>Ibid at 43.</w:t>
      </w:r>
      <w:proofErr w:type="gramEnd"/>
    </w:p>
  </w:footnote>
  <w:footnote w:id="29">
    <w:p w:rsidR="004B48CA" w:rsidRPr="004B48CA" w:rsidRDefault="004B48CA" w:rsidP="004B48CA">
      <w:pPr>
        <w:pStyle w:val="FootnoteText"/>
        <w:rPr>
          <w:sz w:val="16"/>
        </w:rPr>
      </w:pPr>
      <w:r w:rsidRPr="004B48CA">
        <w:rPr>
          <w:rStyle w:val="FootnoteReference"/>
          <w:sz w:val="16"/>
        </w:rPr>
        <w:footnoteRef/>
      </w:r>
      <w:r w:rsidRPr="004B48CA">
        <w:rPr>
          <w:sz w:val="16"/>
        </w:rPr>
        <w:t xml:space="preserve"> </w:t>
      </w:r>
      <w:proofErr w:type="spellStart"/>
      <w:proofErr w:type="gramStart"/>
      <w:r w:rsidRPr="004B48CA">
        <w:rPr>
          <w:sz w:val="16"/>
        </w:rPr>
        <w:t>Solbakk</w:t>
      </w:r>
      <w:proofErr w:type="spellEnd"/>
      <w:r w:rsidRPr="004B48CA">
        <w:rPr>
          <w:sz w:val="16"/>
        </w:rPr>
        <w:t>, J.H., ‘Uses and abuses of biomedical</w:t>
      </w:r>
      <w:r w:rsidRPr="004B48CA">
        <w:rPr>
          <w:sz w:val="16"/>
        </w:rPr>
        <w:t xml:space="preserve"> </w:t>
      </w:r>
      <w:r w:rsidRPr="004B48CA">
        <w:rPr>
          <w:sz w:val="16"/>
        </w:rPr>
        <w:t>research,’ p35–50 at 43 in Council of Europe</w:t>
      </w:r>
      <w:r w:rsidRPr="004B48CA">
        <w:rPr>
          <w:sz w:val="16"/>
        </w:rPr>
        <w:t xml:space="preserve"> </w:t>
      </w:r>
      <w:r w:rsidRPr="004B48CA">
        <w:rPr>
          <w:sz w:val="16"/>
        </w:rPr>
        <w:t>Publishing (ed.), Biomedical Research, October 2004,</w:t>
      </w:r>
      <w:r w:rsidRPr="004B48CA">
        <w:rPr>
          <w:sz w:val="16"/>
        </w:rPr>
        <w:t xml:space="preserve"> </w:t>
      </w:r>
      <w:r w:rsidRPr="004B48CA">
        <w:rPr>
          <w:sz w:val="16"/>
        </w:rPr>
        <w:t>Council of Europe.</w:t>
      </w:r>
      <w:proofErr w:type="gramEnd"/>
    </w:p>
  </w:footnote>
  <w:footnote w:id="30">
    <w:p w:rsidR="00EE5221" w:rsidRPr="00EE5221" w:rsidRDefault="00EE5221" w:rsidP="00EE5221">
      <w:pPr>
        <w:pStyle w:val="FootnoteText"/>
        <w:rPr>
          <w:sz w:val="16"/>
        </w:rPr>
      </w:pPr>
      <w:r w:rsidRPr="00EE5221">
        <w:rPr>
          <w:rStyle w:val="FootnoteReference"/>
          <w:sz w:val="16"/>
        </w:rPr>
        <w:footnoteRef/>
      </w:r>
      <w:r w:rsidRPr="00EE5221">
        <w:rPr>
          <w:sz w:val="16"/>
        </w:rPr>
        <w:t xml:space="preserve"> </w:t>
      </w:r>
      <w:proofErr w:type="spellStart"/>
      <w:r w:rsidRPr="00EE5221">
        <w:rPr>
          <w:sz w:val="16"/>
        </w:rPr>
        <w:t>Makhijani</w:t>
      </w:r>
      <w:proofErr w:type="spellEnd"/>
      <w:r w:rsidRPr="00EE5221">
        <w:rPr>
          <w:sz w:val="16"/>
        </w:rPr>
        <w:t>, A and Kennedy, E, Human Radiation</w:t>
      </w:r>
      <w:r w:rsidRPr="00EE5221">
        <w:rPr>
          <w:sz w:val="16"/>
        </w:rPr>
        <w:t xml:space="preserve"> </w:t>
      </w:r>
      <w:r w:rsidRPr="00EE5221">
        <w:rPr>
          <w:sz w:val="16"/>
        </w:rPr>
        <w:t>Experiments in the United States, Institute for Energy</w:t>
      </w:r>
      <w:r w:rsidRPr="00EE5221">
        <w:rPr>
          <w:sz w:val="16"/>
        </w:rPr>
        <w:t xml:space="preserve"> </w:t>
      </w:r>
      <w:r w:rsidRPr="00EE5221">
        <w:rPr>
          <w:sz w:val="16"/>
        </w:rPr>
        <w:t>and Environmental Research, 1994 available at:</w:t>
      </w:r>
      <w:r w:rsidRPr="00EE5221">
        <w:rPr>
          <w:sz w:val="16"/>
        </w:rPr>
        <w:t xml:space="preserve"> </w:t>
      </w:r>
      <w:hyperlink r:id="rId2" w:history="1">
        <w:r w:rsidRPr="00EE5221">
          <w:rPr>
            <w:rStyle w:val="Hyperlink"/>
            <w:sz w:val="16"/>
          </w:rPr>
          <w:t>http://www.ieer.org/sdafiles/vol_3/3-1/humanex.html</w:t>
        </w:r>
      </w:hyperlink>
      <w:r w:rsidRPr="00EE5221">
        <w:rPr>
          <w:sz w:val="16"/>
        </w:rPr>
        <w:t xml:space="preserve"> </w:t>
      </w:r>
    </w:p>
  </w:footnote>
  <w:footnote w:id="31">
    <w:p w:rsidR="00EE5221" w:rsidRPr="00EE5221" w:rsidRDefault="00EE5221" w:rsidP="00EE5221">
      <w:pPr>
        <w:pStyle w:val="FootnoteText"/>
        <w:rPr>
          <w:sz w:val="16"/>
        </w:rPr>
      </w:pPr>
      <w:r w:rsidRPr="00EE5221">
        <w:rPr>
          <w:rStyle w:val="FootnoteReference"/>
          <w:sz w:val="16"/>
        </w:rPr>
        <w:footnoteRef/>
      </w:r>
      <w:r w:rsidRPr="00EE5221">
        <w:rPr>
          <w:sz w:val="16"/>
        </w:rPr>
        <w:t xml:space="preserve"> </w:t>
      </w:r>
      <w:r w:rsidRPr="00EE5221">
        <w:rPr>
          <w:sz w:val="16"/>
        </w:rPr>
        <w:t xml:space="preserve">See further </w:t>
      </w:r>
      <w:proofErr w:type="spellStart"/>
      <w:r w:rsidRPr="00EE5221">
        <w:rPr>
          <w:sz w:val="16"/>
        </w:rPr>
        <w:t>Plomer</w:t>
      </w:r>
      <w:proofErr w:type="spellEnd"/>
      <w:r w:rsidRPr="00EE5221">
        <w:rPr>
          <w:sz w:val="16"/>
        </w:rPr>
        <w:t>, A, The Law and Ethics of Medical</w:t>
      </w:r>
      <w:r w:rsidRPr="00EE5221">
        <w:rPr>
          <w:sz w:val="16"/>
        </w:rPr>
        <w:t xml:space="preserve"> </w:t>
      </w:r>
      <w:r w:rsidRPr="00EE5221">
        <w:rPr>
          <w:sz w:val="16"/>
        </w:rPr>
        <w:t>Research, 2005, Cavendish Publishing, 45–46.</w:t>
      </w:r>
    </w:p>
  </w:footnote>
  <w:footnote w:id="32">
    <w:p w:rsidR="00EE5221" w:rsidRPr="00EE5221" w:rsidRDefault="00EE5221" w:rsidP="00EE5221">
      <w:pPr>
        <w:pStyle w:val="FootnoteText"/>
        <w:rPr>
          <w:sz w:val="16"/>
        </w:rPr>
      </w:pPr>
      <w:r w:rsidRPr="00EE5221">
        <w:rPr>
          <w:rStyle w:val="FootnoteReference"/>
          <w:sz w:val="16"/>
        </w:rPr>
        <w:footnoteRef/>
      </w:r>
      <w:r w:rsidRPr="00EE5221">
        <w:rPr>
          <w:sz w:val="16"/>
        </w:rPr>
        <w:t xml:space="preserve"> </w:t>
      </w:r>
      <w:r w:rsidRPr="00EE5221">
        <w:rPr>
          <w:sz w:val="16"/>
        </w:rPr>
        <w:t xml:space="preserve">See, for example, In Re Cincinnati Radiation </w:t>
      </w:r>
      <w:proofErr w:type="spellStart"/>
      <w:r w:rsidRPr="00EE5221">
        <w:rPr>
          <w:sz w:val="16"/>
        </w:rPr>
        <w:t>Litig</w:t>
      </w:r>
      <w:proofErr w:type="spellEnd"/>
      <w:r w:rsidRPr="00EE5221">
        <w:rPr>
          <w:sz w:val="16"/>
        </w:rPr>
        <w:t xml:space="preserve"> 874</w:t>
      </w:r>
      <w:r w:rsidRPr="00EE5221">
        <w:rPr>
          <w:sz w:val="16"/>
        </w:rPr>
        <w:t xml:space="preserve"> </w:t>
      </w:r>
      <w:r w:rsidRPr="00EE5221">
        <w:rPr>
          <w:sz w:val="16"/>
        </w:rPr>
        <w:t xml:space="preserve">F </w:t>
      </w:r>
      <w:proofErr w:type="spellStart"/>
      <w:r w:rsidRPr="00EE5221">
        <w:rPr>
          <w:sz w:val="16"/>
        </w:rPr>
        <w:t>Supp</w:t>
      </w:r>
      <w:proofErr w:type="spellEnd"/>
      <w:r w:rsidRPr="00EE5221">
        <w:rPr>
          <w:sz w:val="16"/>
        </w:rPr>
        <w:t xml:space="preserve"> 796 (SD Ohio 1995), Re Maddison, Deceased</w:t>
      </w:r>
      <w:r w:rsidRPr="00EE5221">
        <w:rPr>
          <w:sz w:val="16"/>
        </w:rPr>
        <w:t xml:space="preserve"> </w:t>
      </w:r>
      <w:r w:rsidRPr="00EE5221">
        <w:rPr>
          <w:sz w:val="16"/>
        </w:rPr>
        <w:t>[2002] EWHC 2567 Admin.</w:t>
      </w:r>
    </w:p>
  </w:footnote>
  <w:footnote w:id="33">
    <w:p w:rsidR="00EE5221" w:rsidRPr="00EE5221" w:rsidRDefault="00EE5221" w:rsidP="00EE5221">
      <w:pPr>
        <w:pStyle w:val="FootnoteText"/>
        <w:rPr>
          <w:sz w:val="16"/>
        </w:rPr>
      </w:pPr>
      <w:r w:rsidRPr="00EE5221">
        <w:rPr>
          <w:rStyle w:val="FootnoteReference"/>
          <w:sz w:val="16"/>
        </w:rPr>
        <w:footnoteRef/>
      </w:r>
      <w:r w:rsidRPr="00EE5221">
        <w:rPr>
          <w:sz w:val="16"/>
        </w:rPr>
        <w:t xml:space="preserve"> </w:t>
      </w:r>
      <w:r w:rsidRPr="00EE5221">
        <w:rPr>
          <w:sz w:val="16"/>
        </w:rPr>
        <w:t xml:space="preserve">See further Macklin, R, </w:t>
      </w:r>
      <w:proofErr w:type="gramStart"/>
      <w:r w:rsidRPr="00EE5221">
        <w:rPr>
          <w:sz w:val="16"/>
        </w:rPr>
        <w:t>Double</w:t>
      </w:r>
      <w:proofErr w:type="gramEnd"/>
      <w:r w:rsidRPr="00EE5221">
        <w:rPr>
          <w:sz w:val="16"/>
        </w:rPr>
        <w:t xml:space="preserve"> Standards in Medical</w:t>
      </w:r>
      <w:r w:rsidRPr="00EE5221">
        <w:rPr>
          <w:sz w:val="16"/>
        </w:rPr>
        <w:t xml:space="preserve"> </w:t>
      </w:r>
      <w:r w:rsidRPr="00EE5221">
        <w:rPr>
          <w:sz w:val="16"/>
        </w:rPr>
        <w:t>Research in Developing Countries, 2004, Cambridge</w:t>
      </w:r>
      <w:r w:rsidRPr="00EE5221">
        <w:rPr>
          <w:sz w:val="16"/>
        </w:rPr>
        <w:t xml:space="preserve"> </w:t>
      </w:r>
      <w:r w:rsidRPr="00EE5221">
        <w:rPr>
          <w:sz w:val="16"/>
        </w:rPr>
        <w:t>University Press.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5AC"/>
    <w:multiLevelType w:val="hybridMultilevel"/>
    <w:tmpl w:val="80F6F8FE"/>
    <w:lvl w:ilvl="0" w:tplc="8878F7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2DCA"/>
    <w:multiLevelType w:val="hybridMultilevel"/>
    <w:tmpl w:val="60E6D81E"/>
    <w:lvl w:ilvl="0" w:tplc="8878F7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2EC5FD2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94827"/>
    <w:multiLevelType w:val="hybridMultilevel"/>
    <w:tmpl w:val="9A380280"/>
    <w:lvl w:ilvl="0" w:tplc="8878F7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18"/>
    <w:rsid w:val="00076907"/>
    <w:rsid w:val="00163205"/>
    <w:rsid w:val="00431DFF"/>
    <w:rsid w:val="0046442E"/>
    <w:rsid w:val="004B48CA"/>
    <w:rsid w:val="006F4BFF"/>
    <w:rsid w:val="00764157"/>
    <w:rsid w:val="008F64CC"/>
    <w:rsid w:val="009165B6"/>
    <w:rsid w:val="00B81018"/>
    <w:rsid w:val="00D21CDE"/>
    <w:rsid w:val="00EA6F2B"/>
    <w:rsid w:val="00E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90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769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69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690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69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90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769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69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690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69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eer.org/sdafiles/vol_3/3-1/humanex.html" TargetMode="External"/><Relationship Id="rId1" Type="http://schemas.openxmlformats.org/officeDocument/2006/relationships/hyperlink" Target="http://www/dca/gov.uk/consult/codepractise/draftcode05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1407-E184-49FC-9133-1A082295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3970</Words>
  <Characters>22630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26547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6</cp:revision>
  <dcterms:created xsi:type="dcterms:W3CDTF">2014-10-20T08:42:00Z</dcterms:created>
  <dcterms:modified xsi:type="dcterms:W3CDTF">2014-10-20T10:19:00Z</dcterms:modified>
</cp:coreProperties>
</file>