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E82E0" w14:textId="1358A801" w:rsidR="002B1BA1" w:rsidRDefault="002B1BA1" w:rsidP="005D6BE9">
      <w:pPr>
        <w:spacing w:after="0" w:line="360" w:lineRule="auto"/>
        <w:jc w:val="both"/>
        <w:rPr>
          <w:rFonts w:ascii="Arial" w:hAnsi="Arial" w:cs="Arial"/>
          <w:b/>
          <w:bCs/>
          <w:lang w:val="en-GB"/>
        </w:rPr>
      </w:pPr>
      <w:r w:rsidRPr="005D6BE9">
        <w:rPr>
          <w:rFonts w:ascii="Arial" w:hAnsi="Arial" w:cs="Arial"/>
          <w:b/>
          <w:bCs/>
          <w:lang w:val="en-GB"/>
        </w:rPr>
        <w:t xml:space="preserve">Can </w:t>
      </w:r>
      <w:r w:rsidR="006D3C72" w:rsidRPr="005D6BE9">
        <w:rPr>
          <w:rFonts w:ascii="Arial" w:hAnsi="Arial" w:cs="Arial"/>
          <w:b/>
          <w:bCs/>
          <w:lang w:val="en-GB"/>
        </w:rPr>
        <w:t>W</w:t>
      </w:r>
      <w:r w:rsidR="00515193" w:rsidRPr="005D6BE9">
        <w:rPr>
          <w:rFonts w:ascii="Arial" w:hAnsi="Arial" w:cs="Arial"/>
          <w:b/>
          <w:bCs/>
          <w:lang w:val="en-GB"/>
        </w:rPr>
        <w:t xml:space="preserve">illing </w:t>
      </w:r>
      <w:r w:rsidR="006D3C72" w:rsidRPr="005D6BE9">
        <w:rPr>
          <w:rFonts w:ascii="Arial" w:hAnsi="Arial" w:cs="Arial"/>
          <w:b/>
          <w:bCs/>
          <w:lang w:val="en-GB"/>
        </w:rPr>
        <w:t>M</w:t>
      </w:r>
      <w:r w:rsidRPr="005D6BE9">
        <w:rPr>
          <w:rFonts w:ascii="Arial" w:hAnsi="Arial" w:cs="Arial"/>
          <w:b/>
          <w:bCs/>
          <w:lang w:val="en-GB"/>
        </w:rPr>
        <w:t xml:space="preserve">igrant </w:t>
      </w:r>
      <w:r w:rsidR="006D3C72" w:rsidRPr="005D6BE9">
        <w:rPr>
          <w:rFonts w:ascii="Arial" w:hAnsi="Arial" w:cs="Arial"/>
          <w:b/>
          <w:bCs/>
          <w:lang w:val="en-GB"/>
        </w:rPr>
        <w:t>S</w:t>
      </w:r>
      <w:r w:rsidRPr="005D6BE9">
        <w:rPr>
          <w:rFonts w:ascii="Arial" w:hAnsi="Arial" w:cs="Arial"/>
          <w:b/>
          <w:bCs/>
          <w:lang w:val="en-GB"/>
        </w:rPr>
        <w:t xml:space="preserve">ex </w:t>
      </w:r>
      <w:r w:rsidR="006D3C72" w:rsidRPr="005D6BE9">
        <w:rPr>
          <w:rFonts w:ascii="Arial" w:hAnsi="Arial" w:cs="Arial"/>
          <w:b/>
          <w:bCs/>
          <w:lang w:val="en-GB"/>
        </w:rPr>
        <w:t>W</w:t>
      </w:r>
      <w:r w:rsidRPr="005D6BE9">
        <w:rPr>
          <w:rFonts w:ascii="Arial" w:hAnsi="Arial" w:cs="Arial"/>
          <w:b/>
          <w:bCs/>
          <w:lang w:val="en-GB"/>
        </w:rPr>
        <w:t xml:space="preserve">orkers be </w:t>
      </w:r>
      <w:r w:rsidR="006D3C72" w:rsidRPr="005D6BE9">
        <w:rPr>
          <w:rFonts w:ascii="Arial" w:hAnsi="Arial" w:cs="Arial"/>
          <w:b/>
          <w:bCs/>
          <w:lang w:val="en-GB"/>
        </w:rPr>
        <w:t>R</w:t>
      </w:r>
      <w:r w:rsidR="00F63EE3" w:rsidRPr="005D6BE9">
        <w:rPr>
          <w:rFonts w:ascii="Arial" w:hAnsi="Arial" w:cs="Arial"/>
          <w:b/>
          <w:bCs/>
          <w:lang w:val="en-GB"/>
        </w:rPr>
        <w:t>eal</w:t>
      </w:r>
      <w:r w:rsidR="00CE4AA9" w:rsidRPr="005D6BE9">
        <w:rPr>
          <w:rFonts w:ascii="Arial" w:hAnsi="Arial" w:cs="Arial"/>
          <w:b/>
          <w:bCs/>
          <w:lang w:val="en-GB"/>
        </w:rPr>
        <w:t xml:space="preserve"> </w:t>
      </w:r>
      <w:r w:rsidR="006D3C72" w:rsidRPr="005D6BE9">
        <w:rPr>
          <w:rFonts w:ascii="Arial" w:hAnsi="Arial" w:cs="Arial"/>
          <w:b/>
          <w:bCs/>
          <w:lang w:val="en-GB"/>
        </w:rPr>
        <w:t>V</w:t>
      </w:r>
      <w:r w:rsidRPr="005D6BE9">
        <w:rPr>
          <w:rFonts w:ascii="Arial" w:hAnsi="Arial" w:cs="Arial"/>
          <w:b/>
          <w:bCs/>
          <w:lang w:val="en-GB"/>
        </w:rPr>
        <w:t>ictims of</w:t>
      </w:r>
      <w:r w:rsidR="00E6322F" w:rsidRPr="005D6BE9">
        <w:rPr>
          <w:rFonts w:ascii="Arial" w:hAnsi="Arial" w:cs="Arial"/>
          <w:b/>
          <w:bCs/>
          <w:lang w:val="en-GB"/>
        </w:rPr>
        <w:t xml:space="preserve"> </w:t>
      </w:r>
      <w:r w:rsidR="006D3C72" w:rsidRPr="005D6BE9">
        <w:rPr>
          <w:rFonts w:ascii="Arial" w:hAnsi="Arial" w:cs="Arial"/>
          <w:b/>
          <w:bCs/>
          <w:lang w:val="en-GB"/>
        </w:rPr>
        <w:t>H</w:t>
      </w:r>
      <w:r w:rsidR="00E6322F" w:rsidRPr="005D6BE9">
        <w:rPr>
          <w:rFonts w:ascii="Arial" w:hAnsi="Arial" w:cs="Arial"/>
          <w:b/>
          <w:bCs/>
          <w:lang w:val="en-GB"/>
        </w:rPr>
        <w:t>uman</w:t>
      </w:r>
      <w:r w:rsidRPr="005D6BE9">
        <w:rPr>
          <w:rFonts w:ascii="Arial" w:hAnsi="Arial" w:cs="Arial"/>
          <w:b/>
          <w:bCs/>
          <w:lang w:val="en-GB"/>
        </w:rPr>
        <w:t xml:space="preserve"> </w:t>
      </w:r>
      <w:r w:rsidR="006D3C72" w:rsidRPr="005D6BE9">
        <w:rPr>
          <w:rFonts w:ascii="Arial" w:hAnsi="Arial" w:cs="Arial"/>
          <w:b/>
          <w:bCs/>
          <w:lang w:val="en-GB"/>
        </w:rPr>
        <w:t>T</w:t>
      </w:r>
      <w:r w:rsidRPr="005D6BE9">
        <w:rPr>
          <w:rFonts w:ascii="Arial" w:hAnsi="Arial" w:cs="Arial"/>
          <w:b/>
          <w:bCs/>
          <w:lang w:val="en-GB"/>
        </w:rPr>
        <w:t xml:space="preserve">rafficking? </w:t>
      </w:r>
      <w:r w:rsidR="00CE4AA9" w:rsidRPr="005D6BE9">
        <w:rPr>
          <w:rFonts w:ascii="Arial" w:hAnsi="Arial" w:cs="Arial"/>
          <w:b/>
          <w:bCs/>
          <w:lang w:val="en-GB"/>
        </w:rPr>
        <w:t xml:space="preserve">A WPR </w:t>
      </w:r>
      <w:r w:rsidR="006D3C72" w:rsidRPr="005D6BE9">
        <w:rPr>
          <w:rFonts w:ascii="Arial" w:hAnsi="Arial" w:cs="Arial"/>
          <w:b/>
          <w:bCs/>
          <w:lang w:val="en-GB"/>
        </w:rPr>
        <w:t>A</w:t>
      </w:r>
      <w:r w:rsidR="00CE4AA9" w:rsidRPr="005D6BE9">
        <w:rPr>
          <w:rFonts w:ascii="Arial" w:hAnsi="Arial" w:cs="Arial"/>
          <w:b/>
          <w:bCs/>
          <w:lang w:val="en-GB"/>
        </w:rPr>
        <w:t xml:space="preserve">nalysis of </w:t>
      </w:r>
      <w:r w:rsidR="00F63EE3" w:rsidRPr="005D6BE9">
        <w:rPr>
          <w:rFonts w:ascii="Arial" w:hAnsi="Arial" w:cs="Arial"/>
          <w:b/>
          <w:bCs/>
          <w:lang w:val="en-GB"/>
        </w:rPr>
        <w:t>the</w:t>
      </w:r>
      <w:r w:rsidR="00535A5B" w:rsidRPr="005D6BE9">
        <w:rPr>
          <w:rFonts w:ascii="Arial" w:hAnsi="Arial" w:cs="Arial"/>
          <w:b/>
          <w:bCs/>
          <w:lang w:val="en-GB"/>
        </w:rPr>
        <w:t xml:space="preserve"> Australian</w:t>
      </w:r>
      <w:r w:rsidR="00F63EE3" w:rsidRPr="005D6BE9">
        <w:rPr>
          <w:rFonts w:ascii="Arial" w:hAnsi="Arial" w:cs="Arial"/>
          <w:b/>
          <w:bCs/>
          <w:lang w:val="en-GB"/>
        </w:rPr>
        <w:t xml:space="preserve"> Modern Slavery </w:t>
      </w:r>
      <w:r w:rsidR="0002216E" w:rsidRPr="005D6BE9">
        <w:rPr>
          <w:rFonts w:ascii="Arial" w:hAnsi="Arial" w:cs="Arial"/>
          <w:b/>
          <w:bCs/>
          <w:lang w:val="en-GB"/>
        </w:rPr>
        <w:t xml:space="preserve">Act </w:t>
      </w:r>
      <w:r w:rsidR="00F63EE3" w:rsidRPr="005D6BE9">
        <w:rPr>
          <w:rFonts w:ascii="Arial" w:hAnsi="Arial" w:cs="Arial"/>
          <w:b/>
          <w:bCs/>
          <w:lang w:val="en-GB"/>
        </w:rPr>
        <w:t>Inquiry Report.</w:t>
      </w:r>
    </w:p>
    <w:p w14:paraId="4B31F206" w14:textId="77777777" w:rsidR="005D6BE9" w:rsidRPr="005D6BE9" w:rsidRDefault="005D6BE9" w:rsidP="005D6BE9">
      <w:pPr>
        <w:spacing w:after="0" w:line="360" w:lineRule="auto"/>
        <w:jc w:val="both"/>
        <w:rPr>
          <w:rFonts w:ascii="Arial" w:hAnsi="Arial" w:cs="Arial"/>
          <w:b/>
          <w:bCs/>
          <w:lang w:val="en-GB"/>
        </w:rPr>
      </w:pPr>
    </w:p>
    <w:p w14:paraId="39F21DE6" w14:textId="7C53AECC" w:rsidR="00A22D53" w:rsidRPr="005D6BE9" w:rsidRDefault="00877D67" w:rsidP="005D6BE9">
      <w:pPr>
        <w:spacing w:after="0" w:line="360" w:lineRule="auto"/>
        <w:jc w:val="both"/>
        <w:rPr>
          <w:rFonts w:ascii="Arial" w:hAnsi="Arial" w:cs="Arial"/>
          <w:i/>
          <w:iCs/>
          <w:lang w:val="en-GB"/>
        </w:rPr>
      </w:pPr>
      <w:r w:rsidRPr="005D6BE9">
        <w:rPr>
          <w:rFonts w:ascii="Arial" w:hAnsi="Arial" w:cs="Arial"/>
          <w:i/>
          <w:iCs/>
          <w:lang w:val="en-GB"/>
        </w:rPr>
        <w:t>Udesha Chandrasena</w:t>
      </w:r>
      <w:r w:rsidR="00A22606" w:rsidRPr="005D6BE9">
        <w:rPr>
          <w:rStyle w:val="FootnoteReference"/>
          <w:rFonts w:ascii="Arial" w:hAnsi="Arial" w:cs="Arial"/>
          <w:lang w:val="en-GB"/>
        </w:rPr>
        <w:footnoteReference w:id="1"/>
      </w:r>
    </w:p>
    <w:p w14:paraId="399F0B45" w14:textId="561EAAD8" w:rsidR="004C1A8F" w:rsidRDefault="004C1A8F" w:rsidP="005D6BE9">
      <w:pPr>
        <w:spacing w:after="0" w:line="360" w:lineRule="auto"/>
        <w:jc w:val="both"/>
        <w:rPr>
          <w:rFonts w:ascii="Arial" w:hAnsi="Arial" w:cs="Arial"/>
          <w:b/>
          <w:bCs/>
          <w:i/>
          <w:iCs/>
          <w:lang w:val="en-GB"/>
        </w:rPr>
      </w:pPr>
    </w:p>
    <w:p w14:paraId="718CF210" w14:textId="77777777" w:rsidR="005D6BE9" w:rsidRPr="005D6BE9" w:rsidRDefault="005D6BE9" w:rsidP="005D6BE9">
      <w:pPr>
        <w:spacing w:after="0" w:line="360" w:lineRule="auto"/>
        <w:jc w:val="both"/>
        <w:rPr>
          <w:rFonts w:ascii="Arial" w:hAnsi="Arial" w:cs="Arial"/>
          <w:b/>
          <w:bCs/>
          <w:i/>
          <w:iCs/>
          <w:lang w:val="en-GB"/>
        </w:rPr>
      </w:pPr>
    </w:p>
    <w:p w14:paraId="0F7B4663" w14:textId="472F4899" w:rsidR="00DE56E0" w:rsidRDefault="00DE56E0" w:rsidP="005D6BE9">
      <w:pPr>
        <w:spacing w:after="0" w:line="360" w:lineRule="auto"/>
        <w:jc w:val="both"/>
        <w:rPr>
          <w:rFonts w:ascii="Arial" w:hAnsi="Arial" w:cs="Arial"/>
          <w:b/>
          <w:bCs/>
          <w:i/>
          <w:iCs/>
          <w:lang w:val="en-GB"/>
        </w:rPr>
      </w:pPr>
      <w:r w:rsidRPr="005D6BE9">
        <w:rPr>
          <w:rFonts w:ascii="Arial" w:hAnsi="Arial" w:cs="Arial"/>
          <w:b/>
          <w:bCs/>
          <w:i/>
          <w:iCs/>
          <w:lang w:val="en-GB"/>
        </w:rPr>
        <w:t xml:space="preserve">Abstract </w:t>
      </w:r>
    </w:p>
    <w:p w14:paraId="7C00E7ED" w14:textId="77777777" w:rsidR="005D6BE9" w:rsidRPr="005D6BE9" w:rsidRDefault="005D6BE9" w:rsidP="005D6BE9">
      <w:pPr>
        <w:spacing w:after="0" w:line="360" w:lineRule="auto"/>
        <w:jc w:val="both"/>
        <w:rPr>
          <w:rFonts w:ascii="Arial" w:hAnsi="Arial" w:cs="Arial"/>
          <w:b/>
          <w:bCs/>
          <w:i/>
          <w:iCs/>
          <w:lang w:val="en-GB"/>
        </w:rPr>
      </w:pPr>
    </w:p>
    <w:p w14:paraId="5391D622" w14:textId="0780D652" w:rsidR="004A5B33" w:rsidRPr="005D6BE9" w:rsidRDefault="004A5B33" w:rsidP="005D6BE9">
      <w:pPr>
        <w:spacing w:after="0" w:line="360" w:lineRule="auto"/>
        <w:jc w:val="both"/>
        <w:rPr>
          <w:rFonts w:ascii="Arial" w:hAnsi="Arial" w:cs="Arial"/>
          <w:lang w:val="en-GB"/>
        </w:rPr>
      </w:pPr>
      <w:r w:rsidRPr="005D6BE9">
        <w:rPr>
          <w:rFonts w:ascii="Arial" w:hAnsi="Arial" w:cs="Arial"/>
          <w:lang w:val="en-GB"/>
        </w:rPr>
        <w:t xml:space="preserve">Using Bacchi’s (2009) What’s a Problem Represented to be? (WPR) methodology, this </w:t>
      </w:r>
      <w:r w:rsidR="000D1265" w:rsidRPr="005D6BE9">
        <w:rPr>
          <w:rFonts w:ascii="Arial" w:hAnsi="Arial" w:cs="Arial"/>
          <w:lang w:val="en-GB"/>
        </w:rPr>
        <w:t xml:space="preserve">paper </w:t>
      </w:r>
      <w:r w:rsidRPr="005D6BE9">
        <w:rPr>
          <w:rFonts w:ascii="Arial" w:hAnsi="Arial" w:cs="Arial"/>
          <w:lang w:val="en-GB"/>
        </w:rPr>
        <w:t xml:space="preserve">analyses the </w:t>
      </w:r>
      <w:r w:rsidRPr="005D6BE9">
        <w:rPr>
          <w:rFonts w:ascii="Arial" w:hAnsi="Arial" w:cs="Arial"/>
          <w:i/>
          <w:iCs/>
          <w:lang w:val="en-GB"/>
        </w:rPr>
        <w:t>Hidden in Plain Sight: An Inquiry into Establishing a Modern Slavery Act in Australia</w:t>
      </w:r>
      <w:r w:rsidRPr="005D6BE9">
        <w:rPr>
          <w:rFonts w:ascii="Arial" w:hAnsi="Arial" w:cs="Arial"/>
          <w:lang w:val="en-GB"/>
        </w:rPr>
        <w:t xml:space="preserve"> </w:t>
      </w:r>
      <w:r w:rsidRPr="005D6BE9">
        <w:rPr>
          <w:rFonts w:ascii="Arial" w:hAnsi="Arial" w:cs="Arial"/>
          <w:i/>
          <w:iCs/>
          <w:lang w:val="en-GB"/>
        </w:rPr>
        <w:t>Report</w:t>
      </w:r>
      <w:r w:rsidRPr="005D6BE9">
        <w:rPr>
          <w:rFonts w:ascii="Arial" w:hAnsi="Arial" w:cs="Arial"/>
          <w:lang w:val="en-GB"/>
        </w:rPr>
        <w:t xml:space="preserve"> to examine the deep-seated assumptions, historical ways of thinking, and the silences used to support the contemporary construction of the problem of human trafficking in the Australian sex industry. This paper will also focus on how the Report understands migrant sex workers and their association with trafficking. In doing so, the aim is to destabilise the taken</w:t>
      </w:r>
      <w:r w:rsidR="00625E10" w:rsidRPr="005D6BE9">
        <w:rPr>
          <w:rFonts w:ascii="Arial" w:hAnsi="Arial" w:cs="Arial"/>
          <w:lang w:val="en-GB"/>
        </w:rPr>
        <w:t xml:space="preserve"> </w:t>
      </w:r>
      <w:r w:rsidRPr="005D6BE9">
        <w:rPr>
          <w:rFonts w:ascii="Arial" w:hAnsi="Arial" w:cs="Arial"/>
          <w:lang w:val="en-GB"/>
        </w:rPr>
        <w:t>for</w:t>
      </w:r>
      <w:r w:rsidR="00625E10" w:rsidRPr="005D6BE9">
        <w:rPr>
          <w:rFonts w:ascii="Arial" w:hAnsi="Arial" w:cs="Arial"/>
          <w:lang w:val="en-GB"/>
        </w:rPr>
        <w:t xml:space="preserve"> </w:t>
      </w:r>
      <w:r w:rsidRPr="005D6BE9">
        <w:rPr>
          <w:rFonts w:ascii="Arial" w:hAnsi="Arial" w:cs="Arial"/>
          <w:lang w:val="en-GB"/>
        </w:rPr>
        <w:t xml:space="preserve">granted knowledges and truths presented in the Report. Finally, the paper will provide alternative ways </w:t>
      </w:r>
      <w:r w:rsidR="00993B41" w:rsidRPr="005D6BE9">
        <w:rPr>
          <w:rFonts w:ascii="Arial" w:hAnsi="Arial" w:cs="Arial"/>
          <w:lang w:val="en-GB"/>
        </w:rPr>
        <w:t>of</w:t>
      </w:r>
      <w:r w:rsidRPr="005D6BE9">
        <w:rPr>
          <w:rFonts w:ascii="Arial" w:hAnsi="Arial" w:cs="Arial"/>
          <w:lang w:val="en-GB"/>
        </w:rPr>
        <w:t xml:space="preserve"> understanding migrant sex workers and trafficking in the sex industry that may broaden all victims’ access to Australia’s </w:t>
      </w:r>
      <w:r w:rsidR="00C73450" w:rsidRPr="005D6BE9">
        <w:rPr>
          <w:rFonts w:ascii="Arial" w:hAnsi="Arial" w:cs="Arial"/>
          <w:lang w:val="en-GB"/>
        </w:rPr>
        <w:t>human trafficking</w:t>
      </w:r>
      <w:r w:rsidRPr="005D6BE9">
        <w:rPr>
          <w:rFonts w:ascii="Arial" w:hAnsi="Arial" w:cs="Arial"/>
          <w:lang w:val="en-GB"/>
        </w:rPr>
        <w:t xml:space="preserve"> response, irrespective of the industry they are located in.</w:t>
      </w:r>
    </w:p>
    <w:p w14:paraId="42056597" w14:textId="6417332F" w:rsidR="004C1A8F" w:rsidRPr="005D6BE9" w:rsidRDefault="004C1A8F" w:rsidP="005D6BE9">
      <w:pPr>
        <w:spacing w:after="0" w:line="360" w:lineRule="auto"/>
        <w:jc w:val="both"/>
        <w:rPr>
          <w:rFonts w:ascii="Arial" w:hAnsi="Arial" w:cs="Arial"/>
          <w:lang w:val="en-GB"/>
        </w:rPr>
      </w:pPr>
    </w:p>
    <w:p w14:paraId="104C3E8B" w14:textId="49CE60D7" w:rsidR="00722FD4" w:rsidRDefault="004C1A8F" w:rsidP="005D6BE9">
      <w:pPr>
        <w:spacing w:after="0" w:line="360" w:lineRule="auto"/>
        <w:jc w:val="both"/>
        <w:rPr>
          <w:rFonts w:ascii="Arial" w:hAnsi="Arial" w:cs="Arial"/>
          <w:b/>
          <w:bCs/>
          <w:i/>
          <w:iCs/>
          <w:lang w:val="en-GB"/>
        </w:rPr>
      </w:pPr>
      <w:r w:rsidRPr="005D6BE9">
        <w:rPr>
          <w:rFonts w:ascii="Arial" w:hAnsi="Arial" w:cs="Arial"/>
          <w:b/>
          <w:bCs/>
          <w:i/>
          <w:iCs/>
          <w:lang w:val="en-GB"/>
        </w:rPr>
        <w:t>Keywords</w:t>
      </w:r>
    </w:p>
    <w:p w14:paraId="0D65E7C2" w14:textId="77777777" w:rsidR="005D6BE9" w:rsidRPr="005D6BE9" w:rsidRDefault="005D6BE9" w:rsidP="005D6BE9">
      <w:pPr>
        <w:spacing w:after="0" w:line="360" w:lineRule="auto"/>
        <w:jc w:val="both"/>
        <w:rPr>
          <w:rFonts w:ascii="Arial" w:hAnsi="Arial" w:cs="Arial"/>
          <w:b/>
          <w:bCs/>
          <w:i/>
          <w:iCs/>
          <w:lang w:val="en-GB"/>
        </w:rPr>
      </w:pPr>
    </w:p>
    <w:p w14:paraId="7243B885" w14:textId="23974833" w:rsidR="004C1A8F" w:rsidRPr="005D6BE9" w:rsidRDefault="00E16FED" w:rsidP="005D6BE9">
      <w:pPr>
        <w:spacing w:after="0" w:line="360" w:lineRule="auto"/>
        <w:jc w:val="both"/>
        <w:rPr>
          <w:rFonts w:ascii="Arial" w:hAnsi="Arial" w:cs="Arial"/>
          <w:lang w:val="en-GB"/>
        </w:rPr>
      </w:pPr>
      <w:r w:rsidRPr="005D6BE9">
        <w:rPr>
          <w:rFonts w:ascii="Arial" w:hAnsi="Arial" w:cs="Arial"/>
          <w:lang w:val="en-GB"/>
        </w:rPr>
        <w:t>Human trafficking</w:t>
      </w:r>
      <w:r w:rsidR="00722FD4" w:rsidRPr="005D6BE9">
        <w:rPr>
          <w:rFonts w:ascii="Arial" w:hAnsi="Arial" w:cs="Arial"/>
          <w:lang w:val="en-GB"/>
        </w:rPr>
        <w:t>;</w:t>
      </w:r>
      <w:r w:rsidRPr="005D6BE9">
        <w:rPr>
          <w:rFonts w:ascii="Arial" w:hAnsi="Arial" w:cs="Arial"/>
          <w:lang w:val="en-GB"/>
        </w:rPr>
        <w:t xml:space="preserve"> sex </w:t>
      </w:r>
      <w:r w:rsidR="00722FD4" w:rsidRPr="005D6BE9">
        <w:rPr>
          <w:rFonts w:ascii="Arial" w:hAnsi="Arial" w:cs="Arial"/>
          <w:lang w:val="en-GB"/>
        </w:rPr>
        <w:t>industry</w:t>
      </w:r>
      <w:r w:rsidRPr="005D6BE9">
        <w:rPr>
          <w:rFonts w:ascii="Arial" w:hAnsi="Arial" w:cs="Arial"/>
          <w:lang w:val="en-GB"/>
        </w:rPr>
        <w:t>; migrant sex worker</w:t>
      </w:r>
      <w:r w:rsidR="00235ED1" w:rsidRPr="005D6BE9">
        <w:rPr>
          <w:rFonts w:ascii="Arial" w:hAnsi="Arial" w:cs="Arial"/>
          <w:lang w:val="en-GB"/>
        </w:rPr>
        <w:t>s</w:t>
      </w:r>
      <w:r w:rsidRPr="005D6BE9">
        <w:rPr>
          <w:rFonts w:ascii="Arial" w:hAnsi="Arial" w:cs="Arial"/>
          <w:lang w:val="en-GB"/>
        </w:rPr>
        <w:t>; WPR; post-</w:t>
      </w:r>
      <w:r w:rsidR="008C4A34" w:rsidRPr="005D6BE9">
        <w:rPr>
          <w:rFonts w:ascii="Arial" w:hAnsi="Arial" w:cs="Arial"/>
          <w:lang w:val="en-GB"/>
        </w:rPr>
        <w:t>structuralist</w:t>
      </w:r>
      <w:r w:rsidR="00722FD4" w:rsidRPr="005D6BE9">
        <w:rPr>
          <w:rFonts w:ascii="Arial" w:hAnsi="Arial" w:cs="Arial"/>
          <w:lang w:val="en-GB"/>
        </w:rPr>
        <w:t>; Australia</w:t>
      </w:r>
    </w:p>
    <w:p w14:paraId="39BA31ED" w14:textId="1978B42D" w:rsidR="00AD3D1A" w:rsidRDefault="00AD3D1A" w:rsidP="005D6BE9">
      <w:pPr>
        <w:spacing w:after="0" w:line="360" w:lineRule="auto"/>
        <w:jc w:val="both"/>
        <w:rPr>
          <w:rFonts w:ascii="Arial" w:hAnsi="Arial" w:cs="Arial"/>
          <w:b/>
          <w:bCs/>
          <w:i/>
          <w:iCs/>
          <w:lang w:val="en-GB"/>
        </w:rPr>
      </w:pPr>
    </w:p>
    <w:p w14:paraId="46A4ECC0" w14:textId="77777777" w:rsidR="005D6BE9" w:rsidRPr="005D6BE9" w:rsidRDefault="005D6BE9" w:rsidP="005D6BE9">
      <w:pPr>
        <w:spacing w:after="0" w:line="360" w:lineRule="auto"/>
        <w:jc w:val="both"/>
        <w:rPr>
          <w:rFonts w:ascii="Arial" w:hAnsi="Arial" w:cs="Arial"/>
          <w:b/>
          <w:bCs/>
          <w:i/>
          <w:iCs/>
          <w:lang w:val="en-GB"/>
        </w:rPr>
      </w:pPr>
    </w:p>
    <w:p w14:paraId="10326D6C" w14:textId="401B69C0" w:rsidR="00DE56E0" w:rsidRDefault="00DE56E0" w:rsidP="005D6BE9">
      <w:pPr>
        <w:spacing w:after="0" w:line="360" w:lineRule="auto"/>
        <w:jc w:val="both"/>
        <w:rPr>
          <w:rFonts w:ascii="Arial" w:hAnsi="Arial" w:cs="Arial"/>
          <w:b/>
          <w:bCs/>
          <w:i/>
          <w:iCs/>
          <w:lang w:val="en-GB"/>
        </w:rPr>
      </w:pPr>
      <w:r w:rsidRPr="005D6BE9">
        <w:rPr>
          <w:rFonts w:ascii="Arial" w:hAnsi="Arial" w:cs="Arial"/>
          <w:b/>
          <w:bCs/>
          <w:i/>
          <w:iCs/>
          <w:lang w:val="en-GB"/>
        </w:rPr>
        <w:t>Introduction</w:t>
      </w:r>
    </w:p>
    <w:p w14:paraId="76B4C915" w14:textId="77777777" w:rsidR="005D6BE9" w:rsidRPr="005D6BE9" w:rsidRDefault="005D6BE9" w:rsidP="005D6BE9">
      <w:pPr>
        <w:spacing w:after="0" w:line="360" w:lineRule="auto"/>
        <w:jc w:val="both"/>
        <w:rPr>
          <w:rFonts w:ascii="Arial" w:hAnsi="Arial" w:cs="Arial"/>
          <w:b/>
          <w:bCs/>
          <w:i/>
          <w:iCs/>
          <w:lang w:val="en-GB"/>
        </w:rPr>
      </w:pPr>
    </w:p>
    <w:p w14:paraId="00F2FEE2" w14:textId="10931EC5" w:rsidR="009B2B7A" w:rsidRDefault="00C92BC7" w:rsidP="005D6BE9">
      <w:pPr>
        <w:spacing w:after="0" w:line="360" w:lineRule="auto"/>
        <w:jc w:val="both"/>
        <w:rPr>
          <w:rFonts w:ascii="Arial" w:hAnsi="Arial" w:cs="Arial"/>
          <w:lang w:val="en-GB"/>
        </w:rPr>
      </w:pPr>
      <w:r w:rsidRPr="005D6BE9">
        <w:rPr>
          <w:rFonts w:ascii="Arial" w:hAnsi="Arial" w:cs="Arial"/>
          <w:lang w:val="en-GB"/>
        </w:rPr>
        <w:t xml:space="preserve">Since the introduction of human trafficking legislation in 1999, the Australian Government has held a number of inquiries to examine the prevalence and characteristics of the problem </w:t>
      </w:r>
      <w:r w:rsidR="00DF2AD6" w:rsidRPr="005D6BE9">
        <w:rPr>
          <w:rFonts w:ascii="Arial" w:hAnsi="Arial" w:cs="Arial"/>
          <w:lang w:val="en-GB"/>
        </w:rPr>
        <w:t xml:space="preserve">of human </w:t>
      </w:r>
      <w:r w:rsidR="00404C87" w:rsidRPr="005D6BE9">
        <w:rPr>
          <w:rFonts w:ascii="Arial" w:hAnsi="Arial" w:cs="Arial"/>
          <w:lang w:val="en-GB"/>
        </w:rPr>
        <w:t>trafficking</w:t>
      </w:r>
      <w:r w:rsidR="00DF2AD6" w:rsidRPr="005D6BE9">
        <w:rPr>
          <w:rFonts w:ascii="Arial" w:hAnsi="Arial" w:cs="Arial"/>
          <w:lang w:val="en-GB"/>
        </w:rPr>
        <w:t xml:space="preserve"> and </w:t>
      </w:r>
      <w:r w:rsidRPr="005D6BE9">
        <w:rPr>
          <w:rFonts w:ascii="Arial" w:hAnsi="Arial" w:cs="Arial"/>
          <w:lang w:val="en-GB"/>
        </w:rPr>
        <w:t xml:space="preserve">the effectiveness of </w:t>
      </w:r>
      <w:r w:rsidR="00A10E5A" w:rsidRPr="005D6BE9">
        <w:rPr>
          <w:rFonts w:ascii="Arial" w:hAnsi="Arial" w:cs="Arial"/>
          <w:lang w:val="en-GB"/>
        </w:rPr>
        <w:t xml:space="preserve">legislative </w:t>
      </w:r>
      <w:r w:rsidRPr="005D6BE9">
        <w:rPr>
          <w:rFonts w:ascii="Arial" w:hAnsi="Arial" w:cs="Arial"/>
          <w:lang w:val="en-GB"/>
        </w:rPr>
        <w:t xml:space="preserve">responses. Whilst previous inquiries largely focused on the sex industry, </w:t>
      </w:r>
      <w:r w:rsidR="0037486F" w:rsidRPr="005D6BE9">
        <w:rPr>
          <w:rFonts w:ascii="Arial" w:hAnsi="Arial" w:cs="Arial"/>
          <w:lang w:val="en-GB"/>
        </w:rPr>
        <w:t xml:space="preserve">changes introduced into </w:t>
      </w:r>
      <w:r w:rsidR="005A6FB1" w:rsidRPr="005D6BE9">
        <w:rPr>
          <w:rFonts w:ascii="Arial" w:hAnsi="Arial" w:cs="Arial"/>
          <w:lang w:val="en-GB"/>
        </w:rPr>
        <w:t xml:space="preserve">Australian </w:t>
      </w:r>
      <w:r w:rsidR="0037486F" w:rsidRPr="005D6BE9">
        <w:rPr>
          <w:rFonts w:ascii="Arial" w:hAnsi="Arial" w:cs="Arial"/>
          <w:lang w:val="en-GB"/>
        </w:rPr>
        <w:t xml:space="preserve">human trafficking law in 2012 </w:t>
      </w:r>
      <w:r w:rsidR="005B51D9" w:rsidRPr="005D6BE9">
        <w:rPr>
          <w:rFonts w:ascii="Arial" w:hAnsi="Arial" w:cs="Arial"/>
          <w:lang w:val="en-GB"/>
        </w:rPr>
        <w:t xml:space="preserve">moved to </w:t>
      </w:r>
      <w:r w:rsidR="006D107A" w:rsidRPr="005D6BE9">
        <w:rPr>
          <w:rFonts w:ascii="Arial" w:hAnsi="Arial" w:cs="Arial"/>
          <w:lang w:val="en-GB"/>
        </w:rPr>
        <w:t xml:space="preserve">de-sexualise human trafficking legislation by repealing the requirement to prove a commercial sexual element </w:t>
      </w:r>
      <w:r w:rsidR="00364D6A" w:rsidRPr="005D6BE9">
        <w:rPr>
          <w:rFonts w:ascii="Arial" w:hAnsi="Arial" w:cs="Arial"/>
          <w:lang w:val="en-GB"/>
        </w:rPr>
        <w:t xml:space="preserve">to gain a human trafficking prosecution </w:t>
      </w:r>
      <w:r w:rsidR="006D107A" w:rsidRPr="005D6BE9">
        <w:rPr>
          <w:rFonts w:ascii="Arial" w:hAnsi="Arial" w:cs="Arial"/>
          <w:lang w:val="en-GB"/>
        </w:rPr>
        <w:t xml:space="preserve">(The Parliament of the Commonwealth of Australia, 2012). This was a landmark moment in Australian human </w:t>
      </w:r>
      <w:r w:rsidR="006D107A" w:rsidRPr="005D6BE9">
        <w:rPr>
          <w:rFonts w:ascii="Arial" w:hAnsi="Arial" w:cs="Arial"/>
          <w:lang w:val="en-GB"/>
        </w:rPr>
        <w:lastRenderedPageBreak/>
        <w:t xml:space="preserve">trafficking law as </w:t>
      </w:r>
      <w:r w:rsidR="004548FA" w:rsidRPr="005D6BE9">
        <w:rPr>
          <w:rFonts w:ascii="Arial" w:hAnsi="Arial" w:cs="Arial"/>
          <w:lang w:val="en-GB"/>
        </w:rPr>
        <w:t xml:space="preserve">it acknowledged that human trafficking is not unique to the sex industry and shifted national discourse away from singling out the sex industry for being </w:t>
      </w:r>
      <w:r w:rsidR="00AA39F5" w:rsidRPr="005D6BE9">
        <w:rPr>
          <w:rFonts w:ascii="Arial" w:hAnsi="Arial" w:cs="Arial"/>
          <w:lang w:val="en-GB"/>
        </w:rPr>
        <w:t xml:space="preserve">directly responsible for exploitation. Additionally, the changes allowed </w:t>
      </w:r>
      <w:r w:rsidR="00F53D7F" w:rsidRPr="005D6BE9">
        <w:rPr>
          <w:rFonts w:ascii="Arial" w:hAnsi="Arial" w:cs="Arial"/>
          <w:lang w:val="en-GB"/>
        </w:rPr>
        <w:t xml:space="preserve">the sex industry to be governed by the same human trafficking laws </w:t>
      </w:r>
      <w:r w:rsidR="005319F2" w:rsidRPr="005D6BE9">
        <w:rPr>
          <w:rFonts w:ascii="Arial" w:hAnsi="Arial" w:cs="Arial"/>
          <w:lang w:val="en-GB"/>
        </w:rPr>
        <w:t>governing all industries, de-</w:t>
      </w:r>
      <w:r w:rsidR="00630780" w:rsidRPr="005D6BE9">
        <w:rPr>
          <w:rFonts w:ascii="Arial" w:hAnsi="Arial" w:cs="Arial"/>
          <w:lang w:val="en-GB"/>
        </w:rPr>
        <w:t>stabilising</w:t>
      </w:r>
      <w:r w:rsidR="005319F2" w:rsidRPr="005D6BE9">
        <w:rPr>
          <w:rFonts w:ascii="Arial" w:hAnsi="Arial" w:cs="Arial"/>
          <w:lang w:val="en-GB"/>
        </w:rPr>
        <w:t xml:space="preserve"> the assumption </w:t>
      </w:r>
      <w:r w:rsidR="00630780" w:rsidRPr="005D6BE9">
        <w:rPr>
          <w:rFonts w:ascii="Arial" w:hAnsi="Arial" w:cs="Arial"/>
          <w:lang w:val="en-GB"/>
        </w:rPr>
        <w:t>t</w:t>
      </w:r>
      <w:r w:rsidR="005319F2" w:rsidRPr="005D6BE9">
        <w:rPr>
          <w:rFonts w:ascii="Arial" w:hAnsi="Arial" w:cs="Arial"/>
          <w:lang w:val="en-GB"/>
        </w:rPr>
        <w:t xml:space="preserve">hat ‘sex trafficking’ is fundamentally different to ‘labour trafficking’. </w:t>
      </w:r>
    </w:p>
    <w:p w14:paraId="77103405" w14:textId="77777777" w:rsidR="005D6BE9" w:rsidRPr="005D6BE9" w:rsidRDefault="005D6BE9" w:rsidP="005D6BE9">
      <w:pPr>
        <w:spacing w:after="0" w:line="360" w:lineRule="auto"/>
        <w:jc w:val="both"/>
        <w:rPr>
          <w:rFonts w:ascii="Arial" w:hAnsi="Arial" w:cs="Arial"/>
          <w:lang w:val="en-GB"/>
        </w:rPr>
      </w:pPr>
    </w:p>
    <w:p w14:paraId="0D0821BE" w14:textId="43A89675" w:rsidR="009B2B7A" w:rsidRDefault="00A10E5A" w:rsidP="005D6BE9">
      <w:pPr>
        <w:spacing w:after="0" w:line="360" w:lineRule="auto"/>
        <w:ind w:firstLine="720"/>
        <w:jc w:val="both"/>
        <w:rPr>
          <w:rFonts w:ascii="Arial" w:hAnsi="Arial" w:cs="Arial"/>
          <w:lang w:val="en-GB"/>
        </w:rPr>
      </w:pPr>
      <w:r w:rsidRPr="005D6BE9">
        <w:rPr>
          <w:rFonts w:ascii="Arial" w:hAnsi="Arial" w:cs="Arial"/>
          <w:lang w:val="en-GB"/>
        </w:rPr>
        <w:t xml:space="preserve">Taking into consideration the trend for some </w:t>
      </w:r>
      <w:r w:rsidR="00D82C48" w:rsidRPr="005D6BE9">
        <w:rPr>
          <w:rFonts w:ascii="Arial" w:hAnsi="Arial" w:cs="Arial"/>
          <w:lang w:val="en-GB"/>
        </w:rPr>
        <w:t>countries</w:t>
      </w:r>
      <w:r w:rsidRPr="005D6BE9">
        <w:rPr>
          <w:rFonts w:ascii="Arial" w:hAnsi="Arial" w:cs="Arial"/>
          <w:lang w:val="en-GB"/>
        </w:rPr>
        <w:t xml:space="preserve"> to move towards human trafficking legal responses that aim to abolish the sex industry due to the view that sex work is not legitimate work and is inherently and especially exploitative, the legislative changes introduced in 2012 </w:t>
      </w:r>
      <w:r w:rsidR="002845DF" w:rsidRPr="005D6BE9">
        <w:rPr>
          <w:rFonts w:ascii="Arial" w:hAnsi="Arial" w:cs="Arial"/>
          <w:lang w:val="en-GB"/>
        </w:rPr>
        <w:t>constructed</w:t>
      </w:r>
      <w:r w:rsidRPr="005D6BE9">
        <w:rPr>
          <w:rFonts w:ascii="Arial" w:hAnsi="Arial" w:cs="Arial"/>
          <w:lang w:val="en-GB"/>
        </w:rPr>
        <w:t xml:space="preserve"> the Australian human trafficking response </w:t>
      </w:r>
      <w:r w:rsidR="00FC33F0" w:rsidRPr="005D6BE9">
        <w:rPr>
          <w:rFonts w:ascii="Arial" w:hAnsi="Arial" w:cs="Arial"/>
          <w:lang w:val="en-GB"/>
        </w:rPr>
        <w:t xml:space="preserve">as </w:t>
      </w:r>
      <w:r w:rsidR="002845DF" w:rsidRPr="005D6BE9">
        <w:rPr>
          <w:rFonts w:ascii="Arial" w:hAnsi="Arial" w:cs="Arial"/>
          <w:lang w:val="en-GB"/>
        </w:rPr>
        <w:t xml:space="preserve">comparatively </w:t>
      </w:r>
      <w:r w:rsidRPr="005D6BE9">
        <w:rPr>
          <w:rFonts w:ascii="Arial" w:hAnsi="Arial" w:cs="Arial"/>
          <w:lang w:val="en-GB"/>
        </w:rPr>
        <w:t xml:space="preserve">unique. </w:t>
      </w:r>
      <w:r w:rsidR="00FC33F0" w:rsidRPr="005D6BE9">
        <w:rPr>
          <w:rFonts w:ascii="Arial" w:hAnsi="Arial" w:cs="Arial"/>
          <w:lang w:val="en-GB"/>
        </w:rPr>
        <w:t>However, d</w:t>
      </w:r>
      <w:r w:rsidR="00D340B6" w:rsidRPr="005D6BE9">
        <w:rPr>
          <w:rFonts w:ascii="Arial" w:hAnsi="Arial" w:cs="Arial"/>
          <w:lang w:val="en-GB"/>
        </w:rPr>
        <w:t xml:space="preserve">espite these </w:t>
      </w:r>
      <w:r w:rsidR="00CD6289" w:rsidRPr="005D6BE9">
        <w:rPr>
          <w:rFonts w:ascii="Arial" w:hAnsi="Arial" w:cs="Arial"/>
          <w:lang w:val="en-GB"/>
        </w:rPr>
        <w:t xml:space="preserve">legal </w:t>
      </w:r>
      <w:r w:rsidR="00D340B6" w:rsidRPr="005D6BE9">
        <w:rPr>
          <w:rFonts w:ascii="Arial" w:hAnsi="Arial" w:cs="Arial"/>
          <w:lang w:val="en-GB"/>
        </w:rPr>
        <w:t xml:space="preserve">changes, </w:t>
      </w:r>
      <w:r w:rsidR="00FC33F0" w:rsidRPr="005D6BE9">
        <w:rPr>
          <w:rFonts w:ascii="Arial" w:hAnsi="Arial" w:cs="Arial"/>
          <w:lang w:val="en-GB"/>
        </w:rPr>
        <w:t xml:space="preserve">Australian </w:t>
      </w:r>
      <w:r w:rsidR="00D340B6" w:rsidRPr="005D6BE9">
        <w:rPr>
          <w:rFonts w:ascii="Arial" w:hAnsi="Arial" w:cs="Arial"/>
          <w:lang w:val="en-GB"/>
        </w:rPr>
        <w:t>sex work workplaces continue to be disproportionately investigated for sex trafficking. Additionally, while public inquiries acknowledge that human trafficking can occur in any industry, they continue to single out the sex industry for investigation and distinguish between ‘labour trafficking’ and ‘sex trafficking’.</w:t>
      </w:r>
    </w:p>
    <w:p w14:paraId="35A0DD0C" w14:textId="77777777" w:rsidR="005D6BE9" w:rsidRPr="005D6BE9" w:rsidRDefault="005D6BE9" w:rsidP="005D6BE9">
      <w:pPr>
        <w:spacing w:after="0" w:line="360" w:lineRule="auto"/>
        <w:ind w:firstLine="720"/>
        <w:jc w:val="both"/>
        <w:rPr>
          <w:rFonts w:ascii="Arial" w:hAnsi="Arial" w:cs="Arial"/>
          <w:lang w:val="en-GB"/>
        </w:rPr>
      </w:pPr>
    </w:p>
    <w:p w14:paraId="0707E00B" w14:textId="4BA70FE5" w:rsidR="003C04DD" w:rsidRPr="005D6BE9" w:rsidRDefault="00D0361D" w:rsidP="005D6BE9">
      <w:pPr>
        <w:spacing w:after="0" w:line="360" w:lineRule="auto"/>
        <w:ind w:firstLine="720"/>
        <w:jc w:val="both"/>
        <w:rPr>
          <w:rFonts w:ascii="Arial" w:hAnsi="Arial" w:cs="Arial"/>
          <w:i/>
          <w:iCs/>
          <w:lang w:val="en-GB"/>
        </w:rPr>
      </w:pPr>
      <w:r w:rsidRPr="005D6BE9">
        <w:rPr>
          <w:rFonts w:ascii="Arial" w:hAnsi="Arial" w:cs="Arial"/>
          <w:lang w:val="en-GB"/>
        </w:rPr>
        <w:t xml:space="preserve">As Australia presents a unique approach to human trafficking, there is a need to examine the distinct truths and knowledges that are deployed in public inquiry reports. Public inquiries have been instrumental in producing knowledge about what is considered human trafficking in the sex industry, who is impacted by the crime, and strategies to prevent and prosecute it. </w:t>
      </w:r>
      <w:r w:rsidR="003C04DD" w:rsidRPr="005D6BE9">
        <w:rPr>
          <w:rFonts w:ascii="Arial" w:hAnsi="Arial" w:cs="Arial"/>
          <w:bCs/>
          <w:lang w:val="en-GB"/>
        </w:rPr>
        <w:t xml:space="preserve">This </w:t>
      </w:r>
      <w:r w:rsidR="008A2DEB" w:rsidRPr="005D6BE9">
        <w:rPr>
          <w:rFonts w:ascii="Arial" w:hAnsi="Arial" w:cs="Arial"/>
          <w:bCs/>
          <w:lang w:val="en-GB"/>
        </w:rPr>
        <w:t>paper</w:t>
      </w:r>
      <w:r w:rsidR="003C04DD" w:rsidRPr="005D6BE9">
        <w:rPr>
          <w:rFonts w:ascii="Arial" w:hAnsi="Arial" w:cs="Arial"/>
          <w:bCs/>
          <w:lang w:val="en-GB"/>
        </w:rPr>
        <w:t xml:space="preserve"> </w:t>
      </w:r>
      <w:r w:rsidR="008778EF" w:rsidRPr="005D6BE9">
        <w:rPr>
          <w:rFonts w:ascii="Arial" w:hAnsi="Arial" w:cs="Arial"/>
          <w:bCs/>
          <w:lang w:val="en-GB"/>
        </w:rPr>
        <w:t xml:space="preserve">utilises the </w:t>
      </w:r>
      <w:r w:rsidR="003C04DD" w:rsidRPr="005D6BE9">
        <w:rPr>
          <w:rFonts w:ascii="Arial" w:hAnsi="Arial" w:cs="Arial"/>
          <w:bCs/>
          <w:lang w:val="en-GB"/>
        </w:rPr>
        <w:t xml:space="preserve">What’s the Problem Represented to be? (WPR) methodology to human trafficking in the sex industry field in order to undertake a systematic post-structural analysis of </w:t>
      </w:r>
      <w:r w:rsidR="001F3F2D" w:rsidRPr="005D6BE9">
        <w:rPr>
          <w:rFonts w:ascii="Arial" w:hAnsi="Arial" w:cs="Arial"/>
          <w:bCs/>
          <w:lang w:val="en-GB"/>
        </w:rPr>
        <w:t xml:space="preserve">multiple </w:t>
      </w:r>
      <w:r w:rsidR="003C04DD" w:rsidRPr="005D6BE9">
        <w:rPr>
          <w:rFonts w:ascii="Arial" w:hAnsi="Arial" w:cs="Arial"/>
          <w:bCs/>
          <w:lang w:val="en-GB"/>
        </w:rPr>
        <w:t>significan</w:t>
      </w:r>
      <w:r w:rsidR="0071705B" w:rsidRPr="005D6BE9">
        <w:rPr>
          <w:rFonts w:ascii="Arial" w:hAnsi="Arial" w:cs="Arial"/>
          <w:bCs/>
          <w:lang w:val="en-GB"/>
        </w:rPr>
        <w:t xml:space="preserve">t </w:t>
      </w:r>
      <w:r w:rsidR="003C04DD" w:rsidRPr="005D6BE9">
        <w:rPr>
          <w:rFonts w:ascii="Arial" w:hAnsi="Arial" w:cs="Arial"/>
          <w:bCs/>
          <w:lang w:val="en-GB"/>
        </w:rPr>
        <w:t>Australian policy text</w:t>
      </w:r>
      <w:r w:rsidR="008157AF" w:rsidRPr="005D6BE9">
        <w:rPr>
          <w:rFonts w:ascii="Arial" w:hAnsi="Arial" w:cs="Arial"/>
          <w:bCs/>
          <w:lang w:val="en-GB"/>
        </w:rPr>
        <w:t>s</w:t>
      </w:r>
      <w:r w:rsidR="00366A52" w:rsidRPr="005D6BE9">
        <w:rPr>
          <w:rFonts w:ascii="Arial" w:hAnsi="Arial" w:cs="Arial"/>
          <w:bCs/>
          <w:lang w:val="en-GB"/>
        </w:rPr>
        <w:t xml:space="preserve">, with a focus on </w:t>
      </w:r>
      <w:r w:rsidR="008778EF" w:rsidRPr="005D6BE9">
        <w:rPr>
          <w:rFonts w:ascii="Arial" w:hAnsi="Arial" w:cs="Arial"/>
          <w:bCs/>
          <w:lang w:val="en-GB"/>
        </w:rPr>
        <w:t xml:space="preserve">the 2017 </w:t>
      </w:r>
      <w:r w:rsidR="008778EF" w:rsidRPr="005D6BE9">
        <w:rPr>
          <w:rFonts w:ascii="Arial" w:hAnsi="Arial" w:cs="Arial"/>
          <w:i/>
          <w:iCs/>
          <w:lang w:val="en-GB"/>
        </w:rPr>
        <w:t>Hidden in Plain Sight: An Inquiry into Establishing a Modern Slavery Act Report.</w:t>
      </w:r>
      <w:r w:rsidR="00D91AF2" w:rsidRPr="005D6BE9">
        <w:rPr>
          <w:rFonts w:ascii="Arial" w:hAnsi="Arial" w:cs="Arial"/>
          <w:i/>
          <w:iCs/>
          <w:lang w:val="en-GB"/>
        </w:rPr>
        <w:t xml:space="preserve"> </w:t>
      </w:r>
      <w:r w:rsidR="003C04DD" w:rsidRPr="005D6BE9">
        <w:rPr>
          <w:rFonts w:ascii="Arial" w:hAnsi="Arial" w:cs="Arial"/>
          <w:bCs/>
          <w:lang w:val="en-GB"/>
        </w:rPr>
        <w:t xml:space="preserve">Unlike other approaches to policy analysis which focus on assessing the effectiveness of policy proposals, the WPR approach provides a methodology to examine how assumptions, binaries, histories, and silences are implicated in the constitution of policy problems and proposals. </w:t>
      </w:r>
      <w:r w:rsidR="005F382D" w:rsidRPr="005D6BE9">
        <w:rPr>
          <w:rFonts w:ascii="Arial" w:hAnsi="Arial" w:cs="Arial"/>
          <w:bCs/>
          <w:lang w:val="en-GB"/>
        </w:rPr>
        <w:t xml:space="preserve">By </w:t>
      </w:r>
      <w:r w:rsidR="000D1DF6" w:rsidRPr="005D6BE9">
        <w:rPr>
          <w:rFonts w:ascii="Arial" w:hAnsi="Arial" w:cs="Arial"/>
          <w:bCs/>
          <w:lang w:val="en-GB"/>
        </w:rPr>
        <w:t>examining</w:t>
      </w:r>
      <w:r w:rsidR="005F382D" w:rsidRPr="005D6BE9">
        <w:rPr>
          <w:rFonts w:ascii="Arial" w:hAnsi="Arial" w:cs="Arial"/>
          <w:bCs/>
          <w:lang w:val="en-GB"/>
        </w:rPr>
        <w:t xml:space="preserve"> how governing continues to take place beyond the legal document, this paper deconstructs and examines human trafficking laws and its relationship to sex work, with the intention of providing new ways to resisting unequal social arrangements imposed on marginalised communities.</w:t>
      </w:r>
    </w:p>
    <w:p w14:paraId="774BBAF6" w14:textId="77777777" w:rsidR="00D0361D" w:rsidRPr="005D6BE9" w:rsidRDefault="00D0361D" w:rsidP="005D6BE9">
      <w:pPr>
        <w:spacing w:after="0" w:line="360" w:lineRule="auto"/>
        <w:jc w:val="both"/>
        <w:rPr>
          <w:rFonts w:ascii="Arial" w:hAnsi="Arial" w:cs="Arial"/>
          <w:lang w:val="en-GB"/>
        </w:rPr>
      </w:pPr>
    </w:p>
    <w:p w14:paraId="73E9FB7F" w14:textId="500DA50F" w:rsidR="00172F62" w:rsidRDefault="00172F62" w:rsidP="005D6BE9">
      <w:pPr>
        <w:spacing w:after="0" w:line="360" w:lineRule="auto"/>
        <w:jc w:val="both"/>
        <w:rPr>
          <w:rFonts w:ascii="Arial" w:hAnsi="Arial" w:cs="Arial"/>
          <w:b/>
          <w:bCs/>
          <w:i/>
          <w:iCs/>
          <w:lang w:val="en-GB"/>
        </w:rPr>
      </w:pPr>
      <w:r w:rsidRPr="005D6BE9">
        <w:rPr>
          <w:rFonts w:ascii="Arial" w:hAnsi="Arial" w:cs="Arial"/>
          <w:b/>
          <w:bCs/>
          <w:i/>
          <w:iCs/>
          <w:lang w:val="en-GB"/>
        </w:rPr>
        <w:t xml:space="preserve">Why </w:t>
      </w:r>
      <w:r w:rsidR="005D6BE9">
        <w:rPr>
          <w:rFonts w:ascii="Arial" w:hAnsi="Arial" w:cs="Arial"/>
          <w:b/>
          <w:bCs/>
          <w:i/>
          <w:iCs/>
          <w:lang w:val="en-GB"/>
        </w:rPr>
        <w:t>U</w:t>
      </w:r>
      <w:r w:rsidRPr="005D6BE9">
        <w:rPr>
          <w:rFonts w:ascii="Arial" w:hAnsi="Arial" w:cs="Arial"/>
          <w:b/>
          <w:bCs/>
          <w:i/>
          <w:iCs/>
          <w:lang w:val="en-GB"/>
        </w:rPr>
        <w:t xml:space="preserve">se the WPR </w:t>
      </w:r>
      <w:r w:rsidR="005D6BE9">
        <w:rPr>
          <w:rFonts w:ascii="Arial" w:hAnsi="Arial" w:cs="Arial"/>
          <w:b/>
          <w:bCs/>
          <w:i/>
          <w:iCs/>
          <w:lang w:val="en-GB"/>
        </w:rPr>
        <w:t>A</w:t>
      </w:r>
      <w:r w:rsidRPr="005D6BE9">
        <w:rPr>
          <w:rFonts w:ascii="Arial" w:hAnsi="Arial" w:cs="Arial"/>
          <w:b/>
          <w:bCs/>
          <w:i/>
          <w:iCs/>
          <w:lang w:val="en-GB"/>
        </w:rPr>
        <w:t xml:space="preserve">pproach in the </w:t>
      </w:r>
      <w:r w:rsidR="005D6BE9">
        <w:rPr>
          <w:rFonts w:ascii="Arial" w:hAnsi="Arial" w:cs="Arial"/>
          <w:b/>
          <w:bCs/>
          <w:i/>
          <w:iCs/>
          <w:lang w:val="en-GB"/>
        </w:rPr>
        <w:t>F</w:t>
      </w:r>
      <w:r w:rsidRPr="005D6BE9">
        <w:rPr>
          <w:rFonts w:ascii="Arial" w:hAnsi="Arial" w:cs="Arial"/>
          <w:b/>
          <w:bCs/>
          <w:i/>
          <w:iCs/>
          <w:lang w:val="en-GB"/>
        </w:rPr>
        <w:t xml:space="preserve">ield of </w:t>
      </w:r>
      <w:r w:rsidR="005D6BE9">
        <w:rPr>
          <w:rFonts w:ascii="Arial" w:hAnsi="Arial" w:cs="Arial"/>
          <w:b/>
          <w:bCs/>
          <w:i/>
          <w:iCs/>
          <w:lang w:val="en-GB"/>
        </w:rPr>
        <w:t>C</w:t>
      </w:r>
      <w:r w:rsidRPr="005D6BE9">
        <w:rPr>
          <w:rFonts w:ascii="Arial" w:hAnsi="Arial" w:cs="Arial"/>
          <w:b/>
          <w:bCs/>
          <w:i/>
          <w:iCs/>
          <w:lang w:val="en-GB"/>
        </w:rPr>
        <w:t xml:space="preserve">ritical </w:t>
      </w:r>
      <w:r w:rsidR="005D6BE9">
        <w:rPr>
          <w:rFonts w:ascii="Arial" w:hAnsi="Arial" w:cs="Arial"/>
          <w:b/>
          <w:bCs/>
          <w:i/>
          <w:iCs/>
          <w:lang w:val="en-GB"/>
        </w:rPr>
        <w:t>S</w:t>
      </w:r>
      <w:r w:rsidRPr="005D6BE9">
        <w:rPr>
          <w:rFonts w:ascii="Arial" w:hAnsi="Arial" w:cs="Arial"/>
          <w:b/>
          <w:bCs/>
          <w:i/>
          <w:iCs/>
          <w:lang w:val="en-GB"/>
        </w:rPr>
        <w:t xml:space="preserve">ex </w:t>
      </w:r>
      <w:r w:rsidR="005D6BE9">
        <w:rPr>
          <w:rFonts w:ascii="Arial" w:hAnsi="Arial" w:cs="Arial"/>
          <w:b/>
          <w:bCs/>
          <w:i/>
          <w:iCs/>
          <w:lang w:val="en-GB"/>
        </w:rPr>
        <w:t>W</w:t>
      </w:r>
      <w:r w:rsidRPr="005D6BE9">
        <w:rPr>
          <w:rFonts w:ascii="Arial" w:hAnsi="Arial" w:cs="Arial"/>
          <w:b/>
          <w:bCs/>
          <w:i/>
          <w:iCs/>
          <w:lang w:val="en-GB"/>
        </w:rPr>
        <w:t xml:space="preserve">ork </w:t>
      </w:r>
      <w:r w:rsidR="005D6BE9">
        <w:rPr>
          <w:rFonts w:ascii="Arial" w:hAnsi="Arial" w:cs="Arial"/>
          <w:b/>
          <w:bCs/>
          <w:i/>
          <w:iCs/>
          <w:lang w:val="en-GB"/>
        </w:rPr>
        <w:t>S</w:t>
      </w:r>
      <w:r w:rsidRPr="005D6BE9">
        <w:rPr>
          <w:rFonts w:ascii="Arial" w:hAnsi="Arial" w:cs="Arial"/>
          <w:b/>
          <w:bCs/>
          <w:i/>
          <w:iCs/>
          <w:lang w:val="en-GB"/>
        </w:rPr>
        <w:t xml:space="preserve">tudies? </w:t>
      </w:r>
    </w:p>
    <w:p w14:paraId="5C5376C7" w14:textId="77777777" w:rsidR="005D6BE9" w:rsidRPr="005D6BE9" w:rsidRDefault="005D6BE9" w:rsidP="005D6BE9">
      <w:pPr>
        <w:spacing w:after="0" w:line="360" w:lineRule="auto"/>
        <w:jc w:val="both"/>
        <w:rPr>
          <w:rFonts w:ascii="Arial" w:hAnsi="Arial" w:cs="Arial"/>
          <w:b/>
          <w:bCs/>
          <w:i/>
          <w:iCs/>
          <w:lang w:val="en-GB"/>
        </w:rPr>
      </w:pPr>
    </w:p>
    <w:p w14:paraId="7C96B81A" w14:textId="0900947A" w:rsidR="00172F62" w:rsidRDefault="00172F62" w:rsidP="005D6BE9">
      <w:pPr>
        <w:spacing w:after="0" w:line="360" w:lineRule="auto"/>
        <w:jc w:val="both"/>
        <w:rPr>
          <w:rFonts w:ascii="Arial" w:hAnsi="Arial" w:cs="Arial"/>
          <w:lang w:val="en-GB"/>
        </w:rPr>
      </w:pPr>
      <w:r w:rsidRPr="005D6BE9">
        <w:rPr>
          <w:rFonts w:ascii="Arial" w:hAnsi="Arial" w:cs="Arial"/>
          <w:lang w:val="en-GB"/>
        </w:rPr>
        <w:t xml:space="preserve">There is a rapidly growing body of research that examines the root causes of trafficking in the sex industry from a diversity of sources, such as academics, government bodies, the media, NGOs and religious institutions. While there are highly contested views on sex work and its </w:t>
      </w:r>
      <w:r w:rsidRPr="005D6BE9">
        <w:rPr>
          <w:rFonts w:ascii="Arial" w:hAnsi="Arial" w:cs="Arial"/>
          <w:lang w:val="en-GB"/>
        </w:rPr>
        <w:lastRenderedPageBreak/>
        <w:t>relationship to trafficking and the law, the literature in the field often takes the position that the problem of human trafficking in the sex industry is pre-determined and independent to the research and law-making process</w:t>
      </w:r>
      <w:r w:rsidR="00990534" w:rsidRPr="005D6BE9">
        <w:rPr>
          <w:rFonts w:ascii="Arial" w:hAnsi="Arial" w:cs="Arial"/>
          <w:lang w:val="en-GB"/>
        </w:rPr>
        <w:t xml:space="preserve">. </w:t>
      </w:r>
      <w:r w:rsidRPr="005D6BE9">
        <w:rPr>
          <w:rFonts w:ascii="Arial" w:hAnsi="Arial" w:cs="Arial"/>
          <w:lang w:val="en-GB"/>
        </w:rPr>
        <w:t xml:space="preserve"> </w:t>
      </w:r>
    </w:p>
    <w:p w14:paraId="764CBA2C" w14:textId="77777777" w:rsidR="005D6BE9" w:rsidRPr="005D6BE9" w:rsidRDefault="005D6BE9" w:rsidP="005D6BE9">
      <w:pPr>
        <w:spacing w:after="0" w:line="360" w:lineRule="auto"/>
        <w:jc w:val="both"/>
        <w:rPr>
          <w:rFonts w:ascii="Arial" w:hAnsi="Arial" w:cs="Arial"/>
          <w:lang w:val="en-GB"/>
        </w:rPr>
      </w:pPr>
    </w:p>
    <w:p w14:paraId="6E1D612A" w14:textId="788F307A" w:rsidR="00172F62" w:rsidRDefault="005D2CF0" w:rsidP="005D6BE9">
      <w:pPr>
        <w:spacing w:after="0" w:line="360" w:lineRule="auto"/>
        <w:ind w:firstLine="709"/>
        <w:jc w:val="both"/>
        <w:rPr>
          <w:rFonts w:ascii="Arial" w:hAnsi="Arial" w:cs="Arial"/>
          <w:lang w:val="en-GB"/>
        </w:rPr>
      </w:pPr>
      <w:r w:rsidRPr="005D6BE9">
        <w:rPr>
          <w:rFonts w:ascii="Arial" w:hAnsi="Arial" w:cs="Arial"/>
          <w:lang w:val="en-GB"/>
        </w:rPr>
        <w:t>T</w:t>
      </w:r>
      <w:r w:rsidR="00172F62" w:rsidRPr="005D6BE9">
        <w:rPr>
          <w:rFonts w:ascii="Arial" w:hAnsi="Arial" w:cs="Arial"/>
          <w:lang w:val="en-GB"/>
        </w:rPr>
        <w:t>he post-structuralist approach to policy analysis</w:t>
      </w:r>
      <w:r w:rsidRPr="005D6BE9">
        <w:rPr>
          <w:rFonts w:ascii="Arial" w:hAnsi="Arial" w:cs="Arial"/>
          <w:lang w:val="en-GB"/>
        </w:rPr>
        <w:t>, however,</w:t>
      </w:r>
      <w:r w:rsidR="00172F62" w:rsidRPr="005D6BE9">
        <w:rPr>
          <w:rFonts w:ascii="Arial" w:hAnsi="Arial" w:cs="Arial"/>
          <w:lang w:val="en-GB"/>
        </w:rPr>
        <w:t xml:space="preserve"> turns the gaze inwards by questioning the ‘policy itself, the knowledges that support policy and policy proposals, as well as conventional forms of policy analysis’ (Bacchi &amp; Goodwin, 2016, 3). The post-structuralist approach to policy analysis takes the Foucauldian-influenced position that ‘problems’, ‘solutions’ and the ‘subjects’ of laws are constructed through the law-making process. This approach to policy analysis therefore rejects the notion that the problems laws and policies</w:t>
      </w:r>
      <w:r w:rsidR="002B44D8" w:rsidRPr="005D6BE9">
        <w:rPr>
          <w:rFonts w:ascii="Arial" w:hAnsi="Arial" w:cs="Arial"/>
          <w:lang w:val="en-GB"/>
        </w:rPr>
        <w:t xml:space="preserve"> aim to fix</w:t>
      </w:r>
      <w:r w:rsidR="00172F62" w:rsidRPr="005D6BE9">
        <w:rPr>
          <w:rFonts w:ascii="Arial" w:hAnsi="Arial" w:cs="Arial"/>
          <w:lang w:val="en-GB"/>
        </w:rPr>
        <w:t xml:space="preserve"> are objective and the solutions offered are the direct result of experts addressing </w:t>
      </w:r>
      <w:r w:rsidR="00B37E4A" w:rsidRPr="005D6BE9">
        <w:rPr>
          <w:rFonts w:ascii="Arial" w:hAnsi="Arial" w:cs="Arial"/>
          <w:lang w:val="en-GB"/>
        </w:rPr>
        <w:t xml:space="preserve">tangible </w:t>
      </w:r>
      <w:r w:rsidR="002B44D8" w:rsidRPr="005D6BE9">
        <w:rPr>
          <w:rFonts w:ascii="Arial" w:hAnsi="Arial" w:cs="Arial"/>
          <w:lang w:val="en-GB"/>
        </w:rPr>
        <w:t>issues</w:t>
      </w:r>
      <w:r w:rsidR="00172F62" w:rsidRPr="005D6BE9">
        <w:rPr>
          <w:rFonts w:ascii="Arial" w:hAnsi="Arial" w:cs="Arial"/>
          <w:lang w:val="en-GB"/>
        </w:rPr>
        <w:t xml:space="preserve"> to produce desired and measurable outcomes. Rather, it takes the view that ‘problems’, ‘solutions’ and ‘subjects’ are ‘shaped in ongoing interactions with discourses’ (Bacchi &amp; Goodwin, 2016, 4). By drawing attention to the discourses that bring a particular construction of a problem into being, it becomes possible to critically deconstruct and question the </w:t>
      </w:r>
      <w:r w:rsidR="008D3CE1" w:rsidRPr="005D6BE9">
        <w:rPr>
          <w:rFonts w:ascii="Arial" w:hAnsi="Arial" w:cs="Arial"/>
          <w:lang w:val="en-GB"/>
        </w:rPr>
        <w:t xml:space="preserve">complex </w:t>
      </w:r>
      <w:r w:rsidR="00172F62" w:rsidRPr="005D6BE9">
        <w:rPr>
          <w:rFonts w:ascii="Arial" w:hAnsi="Arial" w:cs="Arial"/>
          <w:lang w:val="en-GB"/>
        </w:rPr>
        <w:t xml:space="preserve">relationship between </w:t>
      </w:r>
      <w:r w:rsidR="008608C4" w:rsidRPr="005D6BE9">
        <w:rPr>
          <w:rFonts w:ascii="Arial" w:hAnsi="Arial" w:cs="Arial"/>
          <w:lang w:val="en-GB"/>
        </w:rPr>
        <w:t xml:space="preserve">sex work and </w:t>
      </w:r>
      <w:r w:rsidR="00172F62" w:rsidRPr="005D6BE9">
        <w:rPr>
          <w:rFonts w:ascii="Arial" w:hAnsi="Arial" w:cs="Arial"/>
          <w:lang w:val="en-GB"/>
        </w:rPr>
        <w:t>human trafficking laws that underpin the representation of</w:t>
      </w:r>
      <w:r w:rsidR="008608C4" w:rsidRPr="005D6BE9">
        <w:rPr>
          <w:rFonts w:ascii="Arial" w:hAnsi="Arial" w:cs="Arial"/>
          <w:lang w:val="en-GB"/>
        </w:rPr>
        <w:t xml:space="preserve"> the</w:t>
      </w:r>
      <w:r w:rsidR="00172F62" w:rsidRPr="005D6BE9">
        <w:rPr>
          <w:rFonts w:ascii="Arial" w:hAnsi="Arial" w:cs="Arial"/>
          <w:lang w:val="en-GB"/>
        </w:rPr>
        <w:t xml:space="preserve"> problem</w:t>
      </w:r>
      <w:r w:rsidR="00F040AE" w:rsidRPr="005D6BE9">
        <w:rPr>
          <w:rFonts w:ascii="Arial" w:hAnsi="Arial" w:cs="Arial"/>
          <w:lang w:val="en-GB"/>
        </w:rPr>
        <w:t xml:space="preserve"> of human trafficking</w:t>
      </w:r>
      <w:r w:rsidR="00A21C06" w:rsidRPr="005D6BE9">
        <w:rPr>
          <w:rFonts w:ascii="Arial" w:hAnsi="Arial" w:cs="Arial"/>
          <w:lang w:val="en-GB"/>
        </w:rPr>
        <w:t xml:space="preserve"> in the sex industry</w:t>
      </w:r>
      <w:r w:rsidR="00172F62" w:rsidRPr="005D6BE9">
        <w:rPr>
          <w:rFonts w:ascii="Arial" w:hAnsi="Arial" w:cs="Arial"/>
          <w:lang w:val="en-GB"/>
        </w:rPr>
        <w:t xml:space="preserve">. </w:t>
      </w:r>
    </w:p>
    <w:p w14:paraId="2843BA53" w14:textId="77777777" w:rsidR="005D6BE9" w:rsidRPr="005D6BE9" w:rsidRDefault="005D6BE9" w:rsidP="005D6BE9">
      <w:pPr>
        <w:spacing w:after="0" w:line="360" w:lineRule="auto"/>
        <w:ind w:firstLine="709"/>
        <w:jc w:val="both"/>
        <w:rPr>
          <w:rFonts w:ascii="Arial" w:hAnsi="Arial" w:cs="Arial"/>
          <w:lang w:val="en-GB"/>
        </w:rPr>
      </w:pPr>
    </w:p>
    <w:p w14:paraId="42387099" w14:textId="494FBB53" w:rsidR="000E77B4" w:rsidRDefault="00172F62" w:rsidP="005D6BE9">
      <w:pPr>
        <w:spacing w:after="0" w:line="360" w:lineRule="auto"/>
        <w:ind w:firstLine="709"/>
        <w:jc w:val="both"/>
        <w:rPr>
          <w:rFonts w:ascii="Arial" w:hAnsi="Arial" w:cs="Arial"/>
          <w:lang w:val="en-GB"/>
        </w:rPr>
      </w:pPr>
      <w:r w:rsidRPr="005D6BE9">
        <w:rPr>
          <w:rFonts w:ascii="Arial" w:hAnsi="Arial" w:cs="Arial"/>
          <w:lang w:val="en-GB"/>
        </w:rPr>
        <w:t xml:space="preserve">Carol Bacchi’s What’s the Problem Represented to be? (WPR) approach provides a methodology to examine the function of particular social and historical discourses underpinning problems as represented in a policy. The WPR approach invites policy analysts to “‘work backwards’ from policy proposals to examine the ‘unexamined ways of thinking’ on which they rely, to put in question their underlying premises, to show that they have a history, and to insist on questioning their implications” (Bacchi &amp; Goodwin, 2016, 16). As laws and policies govern people, the WPR approach also provides a methodology to ‘understand how governing takes place, and with what implications for those so governed’ (Bacchi &amp; Goodwin, 2016, 40). Turning the gaze inwards, social policy analysts are able to make visible the role of broader categories of stakeholders in governing, such as experts in the field, as well as how </w:t>
      </w:r>
      <w:r w:rsidR="00DE13FC" w:rsidRPr="005D6BE9">
        <w:rPr>
          <w:rFonts w:ascii="Arial" w:hAnsi="Arial" w:cs="Arial"/>
          <w:lang w:val="en-GB"/>
        </w:rPr>
        <w:t xml:space="preserve">the </w:t>
      </w:r>
      <w:r w:rsidRPr="005D6BE9">
        <w:rPr>
          <w:rFonts w:ascii="Arial" w:hAnsi="Arial" w:cs="Arial"/>
          <w:lang w:val="en-GB"/>
        </w:rPr>
        <w:t xml:space="preserve">subjects are coerced into governing themselves. </w:t>
      </w:r>
    </w:p>
    <w:p w14:paraId="12D22956" w14:textId="77777777" w:rsidR="005D6BE9" w:rsidRPr="005D6BE9" w:rsidRDefault="005D6BE9" w:rsidP="005D6BE9">
      <w:pPr>
        <w:spacing w:after="0" w:line="360" w:lineRule="auto"/>
        <w:ind w:firstLine="709"/>
        <w:jc w:val="both"/>
        <w:rPr>
          <w:rFonts w:ascii="Arial" w:hAnsi="Arial" w:cs="Arial"/>
          <w:lang w:val="en-GB"/>
        </w:rPr>
      </w:pPr>
    </w:p>
    <w:p w14:paraId="14B08B32" w14:textId="238874FA" w:rsidR="00172F62" w:rsidRDefault="00172F62" w:rsidP="005D6BE9">
      <w:pPr>
        <w:spacing w:after="0" w:line="360" w:lineRule="auto"/>
        <w:ind w:firstLine="709"/>
        <w:jc w:val="both"/>
        <w:rPr>
          <w:rFonts w:ascii="Arial" w:hAnsi="Arial" w:cs="Arial"/>
          <w:lang w:val="en-GB"/>
        </w:rPr>
      </w:pPr>
      <w:r w:rsidRPr="005D6BE9">
        <w:rPr>
          <w:rFonts w:ascii="Arial" w:hAnsi="Arial" w:cs="Arial"/>
          <w:lang w:val="en-GB"/>
        </w:rPr>
        <w:t>A number of researchers have applied a WPR approach to human trafficking policies</w:t>
      </w:r>
      <w:r w:rsidR="003F681E" w:rsidRPr="005D6BE9">
        <w:rPr>
          <w:rFonts w:ascii="Arial" w:hAnsi="Arial" w:cs="Arial"/>
          <w:lang w:val="en-GB"/>
        </w:rPr>
        <w:t xml:space="preserve"> </w:t>
      </w:r>
      <w:r w:rsidRPr="005D6BE9">
        <w:rPr>
          <w:rFonts w:ascii="Arial" w:hAnsi="Arial" w:cs="Arial"/>
          <w:lang w:val="en-GB"/>
        </w:rPr>
        <w:t xml:space="preserve">targeting the sex industry to draw out and challenge taken-for-granted truths and offer alternative ways of understanding the problem (Carson &amp; Edwards, 2011; George, McNaughton, &amp; Tsourtos, 2017; McGarry &amp; FitzGerald, 2019; O’Brien, 2016; Spanger, 2011; Wilson &amp; O’Brien, 2016). In O’Brien and Wilson’s WPR analysis of the construction of victims and offenders in the United </w:t>
      </w:r>
      <w:r w:rsidR="009A0482" w:rsidRPr="005D6BE9">
        <w:rPr>
          <w:rFonts w:ascii="Arial" w:hAnsi="Arial" w:cs="Arial"/>
          <w:lang w:val="en-GB"/>
        </w:rPr>
        <w:t>States’</w:t>
      </w:r>
      <w:r w:rsidRPr="005D6BE9">
        <w:rPr>
          <w:rFonts w:ascii="Arial" w:hAnsi="Arial" w:cs="Arial"/>
          <w:lang w:val="en-GB"/>
        </w:rPr>
        <w:t xml:space="preserve"> Trafficking in Person (TIP) reports, for example,</w:t>
      </w:r>
      <w:r w:rsidR="003F681E" w:rsidRPr="005D6BE9">
        <w:rPr>
          <w:rFonts w:ascii="Arial" w:hAnsi="Arial" w:cs="Arial"/>
          <w:lang w:val="en-GB"/>
        </w:rPr>
        <w:t xml:space="preserve"> trafficking </w:t>
      </w:r>
      <w:r w:rsidR="003F681E" w:rsidRPr="005D6BE9">
        <w:rPr>
          <w:rFonts w:ascii="Arial" w:hAnsi="Arial" w:cs="Arial"/>
          <w:lang w:val="en-GB"/>
        </w:rPr>
        <w:lastRenderedPageBreak/>
        <w:t xml:space="preserve">victims were found to be </w:t>
      </w:r>
      <w:r w:rsidRPr="005D6BE9">
        <w:rPr>
          <w:rFonts w:ascii="Arial" w:hAnsi="Arial" w:cs="Arial"/>
          <w:lang w:val="en-GB"/>
        </w:rPr>
        <w:t xml:space="preserve">produced as ideal victims’ by constructing them as weak and blameless of their victimisation. O’Brien and Wilson (2016, 38-40) also found sex work </w:t>
      </w:r>
      <w:r w:rsidR="003F681E" w:rsidRPr="005D6BE9">
        <w:rPr>
          <w:rFonts w:ascii="Arial" w:hAnsi="Arial" w:cs="Arial"/>
          <w:lang w:val="en-GB"/>
        </w:rPr>
        <w:t xml:space="preserve">to be </w:t>
      </w:r>
      <w:r w:rsidRPr="005D6BE9">
        <w:rPr>
          <w:rFonts w:ascii="Arial" w:hAnsi="Arial" w:cs="Arial"/>
          <w:lang w:val="en-GB"/>
        </w:rPr>
        <w:t xml:space="preserve">constructed as unique in that it is depicted as a ‘universally involuntary behaviour’ and ‘directly culpable for human trafficking’. O’Brien and Wilson (2016, 40) conclude that the construction of sex work as inherently exploitative silences ‘the structural and socioeconomic causes of human trafficking’. </w:t>
      </w:r>
    </w:p>
    <w:p w14:paraId="44FC5F28" w14:textId="77777777" w:rsidR="005D6BE9" w:rsidRPr="005D6BE9" w:rsidRDefault="005D6BE9" w:rsidP="005D6BE9">
      <w:pPr>
        <w:spacing w:after="0" w:line="360" w:lineRule="auto"/>
        <w:ind w:firstLine="709"/>
        <w:jc w:val="both"/>
        <w:rPr>
          <w:rFonts w:ascii="Arial" w:hAnsi="Arial" w:cs="Arial"/>
          <w:lang w:val="en-GB"/>
        </w:rPr>
      </w:pPr>
    </w:p>
    <w:p w14:paraId="583257B8" w14:textId="4AFCA0B5" w:rsidR="006D0E71" w:rsidRDefault="00172F62" w:rsidP="005D6BE9">
      <w:pPr>
        <w:spacing w:after="0" w:line="360" w:lineRule="auto"/>
        <w:ind w:firstLine="709"/>
        <w:jc w:val="both"/>
        <w:rPr>
          <w:rFonts w:ascii="Arial" w:hAnsi="Arial" w:cs="Arial"/>
          <w:lang w:val="en-GB"/>
        </w:rPr>
      </w:pPr>
      <w:r w:rsidRPr="005D6BE9">
        <w:rPr>
          <w:rFonts w:ascii="Arial" w:hAnsi="Arial" w:cs="Arial"/>
          <w:lang w:val="en-GB"/>
        </w:rPr>
        <w:t xml:space="preserve">Similarly, Spanger’s (2011) </w:t>
      </w:r>
      <w:r w:rsidR="004961F5" w:rsidRPr="005D6BE9">
        <w:rPr>
          <w:rFonts w:ascii="Arial" w:hAnsi="Arial" w:cs="Arial"/>
          <w:lang w:val="en-GB"/>
        </w:rPr>
        <w:t xml:space="preserve">WPR </w:t>
      </w:r>
      <w:r w:rsidRPr="005D6BE9">
        <w:rPr>
          <w:rFonts w:ascii="Arial" w:hAnsi="Arial" w:cs="Arial"/>
          <w:lang w:val="en-GB"/>
        </w:rPr>
        <w:t>analysis of policies in Denmark from the 20th Century to 2010 found that feminist and social policy discourses have come to dominate sex work and human trafficking debates. These discourses conceptualise victims of human trafficking to be operating in the sex industry and lacking agency as a result of gender inequality and poor social conditions, such as poverty (Spanger, 2011). In this light, sex workers, particularly migrant sex workers, are viewed as universally exploited. Both O’Brien and Wilson</w:t>
      </w:r>
      <w:r w:rsidR="004C1F97" w:rsidRPr="005D6BE9">
        <w:rPr>
          <w:rFonts w:ascii="Arial" w:hAnsi="Arial" w:cs="Arial"/>
          <w:lang w:val="en-GB"/>
        </w:rPr>
        <w:t xml:space="preserve"> (2016)</w:t>
      </w:r>
      <w:r w:rsidRPr="005D6BE9">
        <w:rPr>
          <w:rFonts w:ascii="Arial" w:hAnsi="Arial" w:cs="Arial"/>
          <w:lang w:val="en-GB"/>
        </w:rPr>
        <w:t xml:space="preserve"> and Spanger (2011) argue that the construction of sex workers as weak and passive legitimates paternalistic and punitive </w:t>
      </w:r>
      <w:r w:rsidR="005E660A" w:rsidRPr="005D6BE9">
        <w:rPr>
          <w:rFonts w:ascii="Arial" w:hAnsi="Arial" w:cs="Arial"/>
          <w:lang w:val="en-GB"/>
        </w:rPr>
        <w:t>s</w:t>
      </w:r>
      <w:r w:rsidRPr="005D6BE9">
        <w:rPr>
          <w:rFonts w:ascii="Arial" w:hAnsi="Arial" w:cs="Arial"/>
          <w:lang w:val="en-GB"/>
        </w:rPr>
        <w:t xml:space="preserve">tate interventions, such as raids and rescue efforts directed at all sex workers and the criminalisation of the sex industry. </w:t>
      </w:r>
    </w:p>
    <w:p w14:paraId="185333F3" w14:textId="77777777" w:rsidR="005D6BE9" w:rsidRPr="005D6BE9" w:rsidRDefault="005D6BE9" w:rsidP="005D6BE9">
      <w:pPr>
        <w:spacing w:after="0" w:line="360" w:lineRule="auto"/>
        <w:ind w:firstLine="709"/>
        <w:jc w:val="both"/>
        <w:rPr>
          <w:rFonts w:ascii="Arial" w:hAnsi="Arial" w:cs="Arial"/>
          <w:lang w:val="en-GB"/>
        </w:rPr>
      </w:pPr>
    </w:p>
    <w:p w14:paraId="019681F9" w14:textId="7676755E" w:rsidR="00172F62" w:rsidRPr="005D6BE9" w:rsidRDefault="00172F62" w:rsidP="005D6BE9">
      <w:pPr>
        <w:spacing w:after="0" w:line="360" w:lineRule="auto"/>
        <w:ind w:firstLine="709"/>
        <w:jc w:val="both"/>
        <w:rPr>
          <w:rFonts w:ascii="Arial" w:hAnsi="Arial" w:cs="Arial"/>
          <w:lang w:val="en-GB"/>
        </w:rPr>
      </w:pPr>
      <w:r w:rsidRPr="005D6BE9">
        <w:rPr>
          <w:rFonts w:ascii="Arial" w:hAnsi="Arial" w:cs="Arial"/>
          <w:lang w:val="en-GB"/>
        </w:rPr>
        <w:t xml:space="preserve">This </w:t>
      </w:r>
      <w:r w:rsidR="00895BD5" w:rsidRPr="005D6BE9">
        <w:rPr>
          <w:rFonts w:ascii="Arial" w:hAnsi="Arial" w:cs="Arial"/>
          <w:lang w:val="en-GB"/>
        </w:rPr>
        <w:t>section</w:t>
      </w:r>
      <w:r w:rsidRPr="005D6BE9">
        <w:rPr>
          <w:rFonts w:ascii="Arial" w:hAnsi="Arial" w:cs="Arial"/>
          <w:lang w:val="en-GB"/>
        </w:rPr>
        <w:t xml:space="preserve"> highlighted the WPR methodology</w:t>
      </w:r>
      <w:r w:rsidR="00D25216" w:rsidRPr="005D6BE9">
        <w:rPr>
          <w:rFonts w:ascii="Arial" w:hAnsi="Arial" w:cs="Arial"/>
          <w:lang w:val="en-GB"/>
        </w:rPr>
        <w:t>’s</w:t>
      </w:r>
      <w:r w:rsidRPr="005D6BE9">
        <w:rPr>
          <w:rFonts w:ascii="Arial" w:hAnsi="Arial" w:cs="Arial"/>
          <w:lang w:val="en-GB"/>
        </w:rPr>
        <w:t xml:space="preserve"> post-structuralist approach to policy analysis whereby ‘problems’, ‘solutions’ and ‘subjects’ are understood to be shaped by their ‘ongoing interactions with discourses’ (Bacchi &amp; Goodwin, 2016, 4). The application of the WPR approach by other policy analysts within the field of human trafficking in the sex industry shows that the methodology is a valuable tool in making explicit the assumptions and discourses that are often implicitly called upon to support the construction of a problem. The following section briefly traces the development of Australian trafficking laws and discourses to highlight how </w:t>
      </w:r>
      <w:r w:rsidR="001D2F77" w:rsidRPr="005D6BE9">
        <w:rPr>
          <w:rFonts w:ascii="Arial" w:hAnsi="Arial" w:cs="Arial"/>
          <w:lang w:val="en-GB"/>
        </w:rPr>
        <w:t xml:space="preserve">the current </w:t>
      </w:r>
      <w:r w:rsidRPr="005D6BE9">
        <w:rPr>
          <w:rFonts w:ascii="Arial" w:hAnsi="Arial" w:cs="Arial"/>
          <w:lang w:val="en-GB"/>
        </w:rPr>
        <w:t xml:space="preserve">laws came to be. It also discusses the </w:t>
      </w:r>
      <w:r w:rsidR="009F14A0" w:rsidRPr="005D6BE9">
        <w:rPr>
          <w:rFonts w:ascii="Arial" w:hAnsi="Arial" w:cs="Arial"/>
          <w:lang w:val="en-GB"/>
        </w:rPr>
        <w:t xml:space="preserve">function of public inquiries in </w:t>
      </w:r>
      <w:r w:rsidRPr="005D6BE9">
        <w:rPr>
          <w:rFonts w:ascii="Arial" w:hAnsi="Arial" w:cs="Arial"/>
          <w:lang w:val="en-GB"/>
        </w:rPr>
        <w:t>directing discussions</w:t>
      </w:r>
      <w:r w:rsidR="001D2F77" w:rsidRPr="005D6BE9">
        <w:rPr>
          <w:rFonts w:ascii="Arial" w:hAnsi="Arial" w:cs="Arial"/>
          <w:lang w:val="en-GB"/>
        </w:rPr>
        <w:t>, inciting legislative changes,</w:t>
      </w:r>
      <w:r w:rsidRPr="005D6BE9">
        <w:rPr>
          <w:rFonts w:ascii="Arial" w:hAnsi="Arial" w:cs="Arial"/>
          <w:lang w:val="en-GB"/>
        </w:rPr>
        <w:t xml:space="preserve"> and shaping </w:t>
      </w:r>
      <w:r w:rsidR="00FC1354" w:rsidRPr="005D6BE9">
        <w:rPr>
          <w:rFonts w:ascii="Arial" w:hAnsi="Arial" w:cs="Arial"/>
          <w:lang w:val="en-GB"/>
        </w:rPr>
        <w:t xml:space="preserve">the </w:t>
      </w:r>
      <w:r w:rsidR="001D2F77" w:rsidRPr="005D6BE9">
        <w:rPr>
          <w:rFonts w:ascii="Arial" w:hAnsi="Arial" w:cs="Arial"/>
          <w:lang w:val="en-GB"/>
        </w:rPr>
        <w:t xml:space="preserve">relationship </w:t>
      </w:r>
      <w:r w:rsidRPr="005D6BE9">
        <w:rPr>
          <w:rFonts w:ascii="Arial" w:hAnsi="Arial" w:cs="Arial"/>
          <w:lang w:val="en-GB"/>
        </w:rPr>
        <w:t xml:space="preserve">between the law, </w:t>
      </w:r>
      <w:r w:rsidR="001D2F77" w:rsidRPr="005D6BE9">
        <w:rPr>
          <w:rFonts w:ascii="Arial" w:hAnsi="Arial" w:cs="Arial"/>
          <w:lang w:val="en-GB"/>
        </w:rPr>
        <w:t xml:space="preserve">human </w:t>
      </w:r>
      <w:r w:rsidRPr="005D6BE9">
        <w:rPr>
          <w:rFonts w:ascii="Arial" w:hAnsi="Arial" w:cs="Arial"/>
          <w:lang w:val="en-GB"/>
        </w:rPr>
        <w:t xml:space="preserve">trafficking, and sex work.  </w:t>
      </w:r>
    </w:p>
    <w:p w14:paraId="1E04BF9A" w14:textId="77777777" w:rsidR="009C7D8C" w:rsidRPr="005D6BE9" w:rsidRDefault="009C7D8C" w:rsidP="005D6BE9">
      <w:pPr>
        <w:spacing w:after="0" w:line="360" w:lineRule="auto"/>
        <w:jc w:val="both"/>
        <w:rPr>
          <w:rFonts w:ascii="Arial" w:hAnsi="Arial" w:cs="Arial"/>
          <w:b/>
          <w:bCs/>
          <w:i/>
          <w:iCs/>
          <w:lang w:val="en-GB"/>
        </w:rPr>
      </w:pPr>
    </w:p>
    <w:p w14:paraId="15BD0AA7" w14:textId="464C71DB" w:rsidR="009F14A0" w:rsidRDefault="00557679" w:rsidP="005D6BE9">
      <w:pPr>
        <w:spacing w:after="0" w:line="360" w:lineRule="auto"/>
        <w:jc w:val="both"/>
        <w:rPr>
          <w:rFonts w:ascii="Arial" w:hAnsi="Arial" w:cs="Arial"/>
          <w:b/>
          <w:bCs/>
          <w:i/>
          <w:iCs/>
          <w:lang w:val="en-GB"/>
        </w:rPr>
      </w:pPr>
      <w:r w:rsidRPr="005D6BE9">
        <w:rPr>
          <w:rFonts w:ascii="Arial" w:hAnsi="Arial" w:cs="Arial"/>
          <w:b/>
          <w:bCs/>
          <w:i/>
          <w:iCs/>
          <w:lang w:val="en-GB"/>
        </w:rPr>
        <w:t xml:space="preserve">Australian </w:t>
      </w:r>
      <w:r w:rsidR="005D6BE9">
        <w:rPr>
          <w:rFonts w:ascii="Arial" w:hAnsi="Arial" w:cs="Arial"/>
          <w:b/>
          <w:bCs/>
          <w:i/>
          <w:iCs/>
          <w:lang w:val="en-GB"/>
        </w:rPr>
        <w:t>H</w:t>
      </w:r>
      <w:r w:rsidRPr="005D6BE9">
        <w:rPr>
          <w:rFonts w:ascii="Arial" w:hAnsi="Arial" w:cs="Arial"/>
          <w:b/>
          <w:bCs/>
          <w:i/>
          <w:iCs/>
          <w:lang w:val="en-GB"/>
        </w:rPr>
        <w:t xml:space="preserve">uman </w:t>
      </w:r>
      <w:r w:rsidR="005D6BE9">
        <w:rPr>
          <w:rFonts w:ascii="Arial" w:hAnsi="Arial" w:cs="Arial"/>
          <w:b/>
          <w:bCs/>
          <w:i/>
          <w:iCs/>
          <w:lang w:val="en-GB"/>
        </w:rPr>
        <w:t>T</w:t>
      </w:r>
      <w:r w:rsidRPr="005D6BE9">
        <w:rPr>
          <w:rFonts w:ascii="Arial" w:hAnsi="Arial" w:cs="Arial"/>
          <w:b/>
          <w:bCs/>
          <w:i/>
          <w:iCs/>
          <w:lang w:val="en-GB"/>
        </w:rPr>
        <w:t xml:space="preserve">rafficking </w:t>
      </w:r>
      <w:r w:rsidR="005D6BE9">
        <w:rPr>
          <w:rFonts w:ascii="Arial" w:hAnsi="Arial" w:cs="Arial"/>
          <w:b/>
          <w:bCs/>
          <w:i/>
          <w:iCs/>
          <w:lang w:val="en-GB"/>
        </w:rPr>
        <w:t>I</w:t>
      </w:r>
      <w:r w:rsidRPr="005D6BE9">
        <w:rPr>
          <w:rFonts w:ascii="Arial" w:hAnsi="Arial" w:cs="Arial"/>
          <w:b/>
          <w:bCs/>
          <w:i/>
          <w:iCs/>
          <w:lang w:val="en-GB"/>
        </w:rPr>
        <w:t xml:space="preserve">nquiries and </w:t>
      </w:r>
      <w:r w:rsidR="003B78B5" w:rsidRPr="005D6BE9">
        <w:rPr>
          <w:rFonts w:ascii="Arial" w:hAnsi="Arial" w:cs="Arial"/>
          <w:b/>
          <w:bCs/>
          <w:i/>
          <w:iCs/>
          <w:lang w:val="en-GB"/>
        </w:rPr>
        <w:t xml:space="preserve">their </w:t>
      </w:r>
      <w:r w:rsidR="005D6BE9">
        <w:rPr>
          <w:rFonts w:ascii="Arial" w:hAnsi="Arial" w:cs="Arial"/>
          <w:b/>
          <w:bCs/>
          <w:i/>
          <w:iCs/>
          <w:lang w:val="en-GB"/>
        </w:rPr>
        <w:t>F</w:t>
      </w:r>
      <w:r w:rsidR="003B78B5" w:rsidRPr="005D6BE9">
        <w:rPr>
          <w:rFonts w:ascii="Arial" w:hAnsi="Arial" w:cs="Arial"/>
          <w:b/>
          <w:bCs/>
          <w:i/>
          <w:iCs/>
          <w:lang w:val="en-GB"/>
        </w:rPr>
        <w:t xml:space="preserve">unction in </w:t>
      </w:r>
      <w:r w:rsidR="005D6BE9">
        <w:rPr>
          <w:rFonts w:ascii="Arial" w:hAnsi="Arial" w:cs="Arial"/>
          <w:b/>
          <w:bCs/>
          <w:i/>
          <w:iCs/>
          <w:lang w:val="en-GB"/>
        </w:rPr>
        <w:t>S</w:t>
      </w:r>
      <w:r w:rsidR="003B78B5" w:rsidRPr="005D6BE9">
        <w:rPr>
          <w:rFonts w:ascii="Arial" w:hAnsi="Arial" w:cs="Arial"/>
          <w:b/>
          <w:bCs/>
          <w:i/>
          <w:iCs/>
          <w:lang w:val="en-GB"/>
        </w:rPr>
        <w:t xml:space="preserve">haping </w:t>
      </w:r>
      <w:r w:rsidR="005D6BE9">
        <w:rPr>
          <w:rFonts w:ascii="Arial" w:hAnsi="Arial" w:cs="Arial"/>
          <w:b/>
          <w:bCs/>
          <w:i/>
          <w:iCs/>
          <w:lang w:val="en-GB"/>
        </w:rPr>
        <w:t>L</w:t>
      </w:r>
      <w:r w:rsidR="003B78B5" w:rsidRPr="005D6BE9">
        <w:rPr>
          <w:rFonts w:ascii="Arial" w:hAnsi="Arial" w:cs="Arial"/>
          <w:b/>
          <w:bCs/>
          <w:i/>
          <w:iCs/>
          <w:lang w:val="en-GB"/>
        </w:rPr>
        <w:t xml:space="preserve">aws and </w:t>
      </w:r>
      <w:r w:rsidR="005D6BE9">
        <w:rPr>
          <w:rFonts w:ascii="Arial" w:hAnsi="Arial" w:cs="Arial"/>
          <w:b/>
          <w:bCs/>
          <w:i/>
          <w:iCs/>
          <w:lang w:val="en-GB"/>
        </w:rPr>
        <w:t>D</w:t>
      </w:r>
      <w:r w:rsidR="003B78B5" w:rsidRPr="005D6BE9">
        <w:rPr>
          <w:rFonts w:ascii="Arial" w:hAnsi="Arial" w:cs="Arial"/>
          <w:b/>
          <w:bCs/>
          <w:i/>
          <w:iCs/>
          <w:lang w:val="en-GB"/>
        </w:rPr>
        <w:t xml:space="preserve">iscourses. </w:t>
      </w:r>
    </w:p>
    <w:p w14:paraId="29F90F51" w14:textId="77777777" w:rsidR="005D6BE9" w:rsidRPr="005D6BE9" w:rsidRDefault="005D6BE9" w:rsidP="005D6BE9">
      <w:pPr>
        <w:spacing w:after="0" w:line="360" w:lineRule="auto"/>
        <w:jc w:val="both"/>
        <w:rPr>
          <w:rFonts w:ascii="Arial" w:hAnsi="Arial" w:cs="Arial"/>
          <w:b/>
          <w:bCs/>
          <w:i/>
          <w:iCs/>
          <w:lang w:val="en-GB"/>
        </w:rPr>
      </w:pPr>
    </w:p>
    <w:p w14:paraId="3BDE7C32" w14:textId="7DB8C91A" w:rsidR="00570279" w:rsidRDefault="00570279" w:rsidP="005D6BE9">
      <w:pPr>
        <w:spacing w:after="0" w:line="360" w:lineRule="auto"/>
        <w:jc w:val="both"/>
        <w:rPr>
          <w:rFonts w:ascii="Arial" w:hAnsi="Arial" w:cs="Arial"/>
          <w:lang w:val="en-GB"/>
        </w:rPr>
      </w:pPr>
      <w:r w:rsidRPr="005D6BE9">
        <w:rPr>
          <w:rFonts w:ascii="Arial" w:hAnsi="Arial" w:cs="Arial"/>
          <w:lang w:val="en-GB"/>
        </w:rPr>
        <w:t>Public inquiries provide the community and experts in the field an opportunity to participate in the policy making process</w:t>
      </w:r>
      <w:r w:rsidR="007C318F" w:rsidRPr="005D6BE9">
        <w:rPr>
          <w:rFonts w:ascii="Arial" w:hAnsi="Arial" w:cs="Arial"/>
          <w:lang w:val="en-GB"/>
        </w:rPr>
        <w:t xml:space="preserve">. </w:t>
      </w:r>
      <w:r w:rsidRPr="005D6BE9">
        <w:rPr>
          <w:rFonts w:ascii="Arial" w:hAnsi="Arial" w:cs="Arial"/>
          <w:lang w:val="en-GB"/>
        </w:rPr>
        <w:t>Since the moderni</w:t>
      </w:r>
      <w:r w:rsidR="00AC0A87" w:rsidRPr="005D6BE9">
        <w:rPr>
          <w:rFonts w:ascii="Arial" w:hAnsi="Arial" w:cs="Arial"/>
          <w:lang w:val="en-GB"/>
        </w:rPr>
        <w:t>s</w:t>
      </w:r>
      <w:r w:rsidRPr="005D6BE9">
        <w:rPr>
          <w:rFonts w:ascii="Arial" w:hAnsi="Arial" w:cs="Arial"/>
          <w:lang w:val="en-GB"/>
        </w:rPr>
        <w:t>ation of Australian trafficking legislation in 1999, there has been numerous national inquiries into human trafficking that has shaped Australia’s human trafficking laws an</w:t>
      </w:r>
      <w:r w:rsidR="0047648A" w:rsidRPr="005D6BE9">
        <w:rPr>
          <w:rFonts w:ascii="Arial" w:hAnsi="Arial" w:cs="Arial"/>
          <w:lang w:val="en-GB"/>
        </w:rPr>
        <w:t xml:space="preserve">d </w:t>
      </w:r>
      <w:r w:rsidRPr="005D6BE9">
        <w:rPr>
          <w:rFonts w:ascii="Arial" w:hAnsi="Arial" w:cs="Arial"/>
          <w:lang w:val="en-GB"/>
        </w:rPr>
        <w:t xml:space="preserve">policies. These inquiries reviewed submissions from </w:t>
      </w:r>
      <w:r w:rsidR="001C61C8" w:rsidRPr="005D6BE9">
        <w:rPr>
          <w:rFonts w:ascii="Arial" w:hAnsi="Arial" w:cs="Arial"/>
          <w:lang w:val="en-GB"/>
        </w:rPr>
        <w:t>researchers, police and government departments, NGOs, and advocacy and support groups</w:t>
      </w:r>
      <w:r w:rsidRPr="005D6BE9">
        <w:rPr>
          <w:rFonts w:ascii="Arial" w:hAnsi="Arial" w:cs="Arial"/>
          <w:lang w:val="en-GB"/>
        </w:rPr>
        <w:t xml:space="preserve">. In the </w:t>
      </w:r>
      <w:r w:rsidRPr="005D6BE9">
        <w:rPr>
          <w:rFonts w:ascii="Arial" w:hAnsi="Arial" w:cs="Arial"/>
          <w:lang w:val="en-GB"/>
        </w:rPr>
        <w:lastRenderedPageBreak/>
        <w:t xml:space="preserve">absence of reliable quantitative data on trafficking, these inquiries have been instrumental in producing knowledge about what is considered human trafficking, the relationship between trafficking and the sex industry, and the laws and policies implemented to prevent and prosecute </w:t>
      </w:r>
      <w:r w:rsidR="00896BDA" w:rsidRPr="005D6BE9">
        <w:rPr>
          <w:rFonts w:ascii="Arial" w:hAnsi="Arial" w:cs="Arial"/>
          <w:lang w:val="en-GB"/>
        </w:rPr>
        <w:t>it</w:t>
      </w:r>
      <w:r w:rsidRPr="005D6BE9">
        <w:rPr>
          <w:rFonts w:ascii="Arial" w:hAnsi="Arial" w:cs="Arial"/>
          <w:lang w:val="en-GB"/>
        </w:rPr>
        <w:t xml:space="preserve">. </w:t>
      </w:r>
    </w:p>
    <w:p w14:paraId="3507F5E3" w14:textId="77777777" w:rsidR="005D6BE9" w:rsidRPr="005D6BE9" w:rsidRDefault="005D6BE9" w:rsidP="005D6BE9">
      <w:pPr>
        <w:spacing w:after="0" w:line="360" w:lineRule="auto"/>
        <w:jc w:val="both"/>
        <w:rPr>
          <w:rFonts w:ascii="Arial" w:hAnsi="Arial" w:cs="Arial"/>
          <w:lang w:val="en-GB"/>
        </w:rPr>
      </w:pPr>
    </w:p>
    <w:p w14:paraId="614F6B1F" w14:textId="0D70E0A8" w:rsidR="00570279" w:rsidRDefault="00570279" w:rsidP="005D6BE9">
      <w:pPr>
        <w:spacing w:after="0" w:line="360" w:lineRule="auto"/>
        <w:ind w:firstLine="709"/>
        <w:jc w:val="both"/>
        <w:rPr>
          <w:rFonts w:ascii="Arial" w:hAnsi="Arial" w:cs="Arial"/>
          <w:lang w:val="en-GB"/>
        </w:rPr>
      </w:pPr>
      <w:r w:rsidRPr="005D6BE9">
        <w:rPr>
          <w:rFonts w:ascii="Arial" w:hAnsi="Arial" w:cs="Arial"/>
          <w:lang w:val="en-GB"/>
        </w:rPr>
        <w:t>Before human trafficking</w:t>
      </w:r>
      <w:r w:rsidR="00B25E4B" w:rsidRPr="005D6BE9">
        <w:rPr>
          <w:rFonts w:ascii="Arial" w:hAnsi="Arial" w:cs="Arial"/>
          <w:lang w:val="en-GB"/>
        </w:rPr>
        <w:t xml:space="preserve"> laws</w:t>
      </w:r>
      <w:r w:rsidRPr="005D6BE9">
        <w:rPr>
          <w:rFonts w:ascii="Arial" w:hAnsi="Arial" w:cs="Arial"/>
          <w:lang w:val="en-GB"/>
        </w:rPr>
        <w:t xml:space="preserve"> w</w:t>
      </w:r>
      <w:r w:rsidR="00B25E4B" w:rsidRPr="005D6BE9">
        <w:rPr>
          <w:rFonts w:ascii="Arial" w:hAnsi="Arial" w:cs="Arial"/>
          <w:lang w:val="en-GB"/>
        </w:rPr>
        <w:t>ere</w:t>
      </w:r>
      <w:r w:rsidRPr="005D6BE9">
        <w:rPr>
          <w:rFonts w:ascii="Arial" w:hAnsi="Arial" w:cs="Arial"/>
          <w:lang w:val="en-GB"/>
        </w:rPr>
        <w:t xml:space="preserve"> introduced into Australia’s legal system in 1999, slavery had been a criminal offence since 1824 under the Slave Trade Act</w:t>
      </w:r>
      <w:r w:rsidR="00577C4C" w:rsidRPr="005D6BE9">
        <w:rPr>
          <w:rFonts w:ascii="Arial" w:hAnsi="Arial" w:cs="Arial"/>
          <w:lang w:val="en-GB"/>
        </w:rPr>
        <w:t xml:space="preserve"> </w:t>
      </w:r>
      <w:r w:rsidRPr="005D6BE9">
        <w:rPr>
          <w:rFonts w:ascii="Arial" w:hAnsi="Arial" w:cs="Arial"/>
          <w:lang w:val="en-GB"/>
        </w:rPr>
        <w:t>(UK</w:t>
      </w:r>
      <w:r w:rsidR="00126A31" w:rsidRPr="005D6BE9">
        <w:rPr>
          <w:rFonts w:ascii="Arial" w:hAnsi="Arial" w:cs="Arial"/>
          <w:lang w:val="en-GB"/>
        </w:rPr>
        <w:t xml:space="preserve">). </w:t>
      </w:r>
      <w:r w:rsidRPr="005D6BE9">
        <w:rPr>
          <w:rFonts w:ascii="Arial" w:hAnsi="Arial" w:cs="Arial"/>
          <w:lang w:val="en-GB"/>
        </w:rPr>
        <w:t>The move to moderni</w:t>
      </w:r>
      <w:r w:rsidR="00AC0A87" w:rsidRPr="005D6BE9">
        <w:rPr>
          <w:rFonts w:ascii="Arial" w:hAnsi="Arial" w:cs="Arial"/>
          <w:lang w:val="en-GB"/>
        </w:rPr>
        <w:t>s</w:t>
      </w:r>
      <w:r w:rsidRPr="005D6BE9">
        <w:rPr>
          <w:rFonts w:ascii="Arial" w:hAnsi="Arial" w:cs="Arial"/>
          <w:lang w:val="en-GB"/>
        </w:rPr>
        <w:t xml:space="preserve">e Australia’s human trafficking legal framework from the outdated </w:t>
      </w:r>
      <w:r w:rsidR="00577C4C" w:rsidRPr="005D6BE9">
        <w:rPr>
          <w:rFonts w:ascii="Arial" w:hAnsi="Arial" w:cs="Arial"/>
          <w:lang w:val="en-GB"/>
        </w:rPr>
        <w:t>S</w:t>
      </w:r>
      <w:r w:rsidRPr="005D6BE9">
        <w:rPr>
          <w:rFonts w:ascii="Arial" w:hAnsi="Arial" w:cs="Arial"/>
          <w:lang w:val="en-GB"/>
        </w:rPr>
        <w:t xml:space="preserve">lave </w:t>
      </w:r>
      <w:r w:rsidR="00577C4C" w:rsidRPr="005D6BE9">
        <w:rPr>
          <w:rFonts w:ascii="Arial" w:hAnsi="Arial" w:cs="Arial"/>
          <w:lang w:val="en-GB"/>
        </w:rPr>
        <w:t>T</w:t>
      </w:r>
      <w:r w:rsidRPr="005D6BE9">
        <w:rPr>
          <w:rFonts w:ascii="Arial" w:hAnsi="Arial" w:cs="Arial"/>
          <w:lang w:val="en-GB"/>
        </w:rPr>
        <w:t xml:space="preserve">rade </w:t>
      </w:r>
      <w:r w:rsidR="00577C4C" w:rsidRPr="005D6BE9">
        <w:rPr>
          <w:rFonts w:ascii="Arial" w:hAnsi="Arial" w:cs="Arial"/>
          <w:lang w:val="en-GB"/>
        </w:rPr>
        <w:t>A</w:t>
      </w:r>
      <w:r w:rsidRPr="005D6BE9">
        <w:rPr>
          <w:rFonts w:ascii="Arial" w:hAnsi="Arial" w:cs="Arial"/>
          <w:lang w:val="en-GB"/>
        </w:rPr>
        <w:t>ct 1824 was initiated by the Australian Law Reform Commission (ALRC) in 1990. The ALCR published a report that reviewed the Slave Trade Act 1</w:t>
      </w:r>
      <w:r w:rsidR="00D320B9" w:rsidRPr="005D6BE9">
        <w:rPr>
          <w:rFonts w:ascii="Arial" w:hAnsi="Arial" w:cs="Arial"/>
          <w:lang w:val="en-GB"/>
        </w:rPr>
        <w:t>824 (UK)</w:t>
      </w:r>
      <w:r w:rsidR="00450B2F" w:rsidRPr="005D6BE9">
        <w:rPr>
          <w:rFonts w:ascii="Arial" w:hAnsi="Arial" w:cs="Arial"/>
          <w:lang w:val="en-GB"/>
        </w:rPr>
        <w:t xml:space="preserve"> and</w:t>
      </w:r>
      <w:r w:rsidRPr="005D6BE9">
        <w:rPr>
          <w:rFonts w:ascii="Arial" w:hAnsi="Arial" w:cs="Arial"/>
          <w:lang w:val="en-GB"/>
        </w:rPr>
        <w:t xml:space="preserve"> concluded that the language used in the </w:t>
      </w:r>
      <w:r w:rsidR="0089301A" w:rsidRPr="005D6BE9">
        <w:rPr>
          <w:rFonts w:ascii="Arial" w:hAnsi="Arial" w:cs="Arial"/>
          <w:lang w:val="en-GB"/>
        </w:rPr>
        <w:t>A</w:t>
      </w:r>
      <w:r w:rsidRPr="005D6BE9">
        <w:rPr>
          <w:rFonts w:ascii="Arial" w:hAnsi="Arial" w:cs="Arial"/>
          <w:lang w:val="en-GB"/>
        </w:rPr>
        <w:t xml:space="preserve">ct was ‘archaic and a number of their provisions relate to circumstances and institutions that have either changed or long since fallen into disuse’ (The Law Reform Commission, 1990, 73). As Australia was a signatory of the 1926 International Convention to Suppress the Slave Trade and Slavery (and its 1953 Protocol) and the 1956 Supplementary Convention on the Abolition of Slavery, the Slave Trade and Institutions and Practices Similar to Slavery, Australia’s international obligations required the criminalisation of </w:t>
      </w:r>
      <w:r w:rsidR="00816F76" w:rsidRPr="005D6BE9">
        <w:rPr>
          <w:rFonts w:ascii="Arial" w:hAnsi="Arial" w:cs="Arial"/>
          <w:lang w:val="en-GB"/>
        </w:rPr>
        <w:t xml:space="preserve">human </w:t>
      </w:r>
      <w:r w:rsidRPr="005D6BE9">
        <w:rPr>
          <w:rFonts w:ascii="Arial" w:hAnsi="Arial" w:cs="Arial"/>
          <w:lang w:val="en-GB"/>
        </w:rPr>
        <w:t>trafficking and the application of effective penalty provisions.</w:t>
      </w:r>
    </w:p>
    <w:p w14:paraId="3E6742AE" w14:textId="77777777" w:rsidR="005D6BE9" w:rsidRPr="005D6BE9" w:rsidRDefault="005D6BE9" w:rsidP="005D6BE9">
      <w:pPr>
        <w:spacing w:after="0" w:line="360" w:lineRule="auto"/>
        <w:ind w:firstLine="709"/>
        <w:jc w:val="both"/>
        <w:rPr>
          <w:rFonts w:ascii="Arial" w:hAnsi="Arial" w:cs="Arial"/>
          <w:lang w:val="en-GB"/>
        </w:rPr>
      </w:pPr>
    </w:p>
    <w:p w14:paraId="3ECD5FC0" w14:textId="1A75E927" w:rsidR="00570279" w:rsidRDefault="00570279" w:rsidP="005D6BE9">
      <w:pPr>
        <w:spacing w:after="0" w:line="360" w:lineRule="auto"/>
        <w:ind w:firstLine="709"/>
        <w:jc w:val="both"/>
        <w:rPr>
          <w:rFonts w:ascii="Arial" w:hAnsi="Arial" w:cs="Arial"/>
          <w:lang w:val="en-GB"/>
        </w:rPr>
      </w:pPr>
      <w:r w:rsidRPr="005D6BE9">
        <w:rPr>
          <w:rFonts w:ascii="Arial" w:hAnsi="Arial" w:cs="Arial"/>
          <w:lang w:val="en-GB"/>
        </w:rPr>
        <w:t>In 1999, the passage of the Criminal Code Amendment (Slavery and Sexual Servitude) Act 1999 (Cth) (from here onwards referred to as ‘Slavery and Sexual Servitude Act 1999’) was introduced to replace the UK Slave Trade Act 1</w:t>
      </w:r>
      <w:r w:rsidR="007F70AC" w:rsidRPr="005D6BE9">
        <w:rPr>
          <w:rFonts w:ascii="Arial" w:hAnsi="Arial" w:cs="Arial"/>
          <w:lang w:val="en-GB"/>
        </w:rPr>
        <w:t>824.</w:t>
      </w:r>
      <w:r w:rsidRPr="005D6BE9">
        <w:rPr>
          <w:rFonts w:ascii="Arial" w:hAnsi="Arial" w:cs="Arial"/>
          <w:lang w:val="en-GB"/>
        </w:rPr>
        <w:t xml:space="preserve"> The Slavery and Sexual Servitude Act 1999 (Cth) sought to modernise Australia’s slavery legislation by introduc</w:t>
      </w:r>
      <w:r w:rsidR="006A7291" w:rsidRPr="005D6BE9">
        <w:rPr>
          <w:rFonts w:ascii="Arial" w:hAnsi="Arial" w:cs="Arial"/>
          <w:lang w:val="en-GB"/>
        </w:rPr>
        <w:t>ing</w:t>
      </w:r>
      <w:r w:rsidRPr="005D6BE9">
        <w:rPr>
          <w:rFonts w:ascii="Arial" w:hAnsi="Arial" w:cs="Arial"/>
          <w:lang w:val="en-GB"/>
        </w:rPr>
        <w:t xml:space="preserve"> a range of new offences, including offences against ‘sexual servitude’ and ‘deceptive recruiting for sexual services’. The Minister responsible for introducing the Act, Federal MP Ian MacDonald, asserted that these new offences were to ‘deter the impact on Australia of a growing and highly lucrative international trade in people for the purpose of sexual exploitation’ (Parliamentary Debate, 24 March 1999, 3076). MacDonald described the ‘trade’ to involve relocating ‘young women’ and ‘children’ to work as ‘prostitutes in servile or slave-like conditions for little, if any, reward’ (Parliamentary Debate, 24 March 1999)</w:t>
      </w:r>
      <w:r w:rsidR="00FA4974" w:rsidRPr="005D6BE9">
        <w:rPr>
          <w:rFonts w:ascii="Arial" w:hAnsi="Arial" w:cs="Arial"/>
          <w:lang w:val="en-GB"/>
        </w:rPr>
        <w:t xml:space="preserve">. </w:t>
      </w:r>
    </w:p>
    <w:p w14:paraId="387E2BC6" w14:textId="77777777" w:rsidR="005D6BE9" w:rsidRPr="005D6BE9" w:rsidRDefault="005D6BE9" w:rsidP="005D6BE9">
      <w:pPr>
        <w:spacing w:after="0" w:line="360" w:lineRule="auto"/>
        <w:ind w:firstLine="709"/>
        <w:jc w:val="both"/>
        <w:rPr>
          <w:rFonts w:ascii="Arial" w:hAnsi="Arial" w:cs="Arial"/>
          <w:lang w:val="en-GB"/>
        </w:rPr>
      </w:pPr>
    </w:p>
    <w:p w14:paraId="74FFBAE1" w14:textId="5B622405" w:rsidR="00570279" w:rsidRDefault="00E45E7E" w:rsidP="005D6BE9">
      <w:pPr>
        <w:spacing w:after="0" w:line="360" w:lineRule="auto"/>
        <w:ind w:firstLine="709"/>
        <w:jc w:val="both"/>
        <w:rPr>
          <w:rFonts w:ascii="Arial" w:hAnsi="Arial" w:cs="Arial"/>
          <w:lang w:val="en-GB"/>
        </w:rPr>
      </w:pPr>
      <w:r w:rsidRPr="005D6BE9">
        <w:rPr>
          <w:rFonts w:ascii="Arial" w:hAnsi="Arial" w:cs="Arial"/>
          <w:lang w:val="en-GB"/>
        </w:rPr>
        <w:t xml:space="preserve">Since the modernisation of </w:t>
      </w:r>
      <w:r w:rsidR="00B30B82" w:rsidRPr="005D6BE9">
        <w:rPr>
          <w:rFonts w:ascii="Arial" w:hAnsi="Arial" w:cs="Arial"/>
          <w:lang w:val="en-GB"/>
        </w:rPr>
        <w:t>laws</w:t>
      </w:r>
      <w:r w:rsidR="00580BF1" w:rsidRPr="005D6BE9">
        <w:rPr>
          <w:rFonts w:ascii="Arial" w:hAnsi="Arial" w:cs="Arial"/>
          <w:lang w:val="en-GB"/>
        </w:rPr>
        <w:t xml:space="preserve"> in 1999</w:t>
      </w:r>
      <w:r w:rsidR="00B30B82" w:rsidRPr="005D6BE9">
        <w:rPr>
          <w:rFonts w:ascii="Arial" w:hAnsi="Arial" w:cs="Arial"/>
          <w:lang w:val="en-GB"/>
        </w:rPr>
        <w:t xml:space="preserve">, </w:t>
      </w:r>
      <w:r w:rsidR="00580BF1" w:rsidRPr="005D6BE9">
        <w:rPr>
          <w:rFonts w:ascii="Arial" w:hAnsi="Arial" w:cs="Arial"/>
          <w:lang w:val="en-GB"/>
        </w:rPr>
        <w:t>a number of</w:t>
      </w:r>
      <w:r w:rsidR="009C107B" w:rsidRPr="005D6BE9">
        <w:rPr>
          <w:rFonts w:ascii="Arial" w:hAnsi="Arial" w:cs="Arial"/>
          <w:lang w:val="en-GB"/>
        </w:rPr>
        <w:t xml:space="preserve"> legal amendments</w:t>
      </w:r>
      <w:r w:rsidR="00580BF1" w:rsidRPr="005D6BE9">
        <w:rPr>
          <w:rFonts w:ascii="Arial" w:hAnsi="Arial" w:cs="Arial"/>
          <w:lang w:val="en-GB"/>
        </w:rPr>
        <w:t xml:space="preserve"> </w:t>
      </w:r>
      <w:r w:rsidR="0008707A" w:rsidRPr="005D6BE9">
        <w:rPr>
          <w:rFonts w:ascii="Arial" w:hAnsi="Arial" w:cs="Arial"/>
          <w:lang w:val="en-GB"/>
        </w:rPr>
        <w:t>have been</w:t>
      </w:r>
      <w:r w:rsidR="00102C6D" w:rsidRPr="005D6BE9">
        <w:rPr>
          <w:rFonts w:ascii="Arial" w:hAnsi="Arial" w:cs="Arial"/>
          <w:lang w:val="en-GB"/>
        </w:rPr>
        <w:t xml:space="preserve"> adopted that </w:t>
      </w:r>
      <w:r w:rsidR="009C107B" w:rsidRPr="005D6BE9">
        <w:rPr>
          <w:rFonts w:ascii="Arial" w:hAnsi="Arial" w:cs="Arial"/>
          <w:lang w:val="en-GB"/>
        </w:rPr>
        <w:t xml:space="preserve">critically </w:t>
      </w:r>
      <w:r w:rsidR="00102C6D" w:rsidRPr="005D6BE9">
        <w:rPr>
          <w:rFonts w:ascii="Arial" w:hAnsi="Arial" w:cs="Arial"/>
          <w:lang w:val="en-GB"/>
        </w:rPr>
        <w:t xml:space="preserve">impacted the relationship between sex work and human trafficking laws, such as the </w:t>
      </w:r>
      <w:r w:rsidR="009C107B" w:rsidRPr="005D6BE9">
        <w:rPr>
          <w:rFonts w:ascii="Arial" w:hAnsi="Arial" w:cs="Arial"/>
          <w:lang w:val="en-GB"/>
        </w:rPr>
        <w:t>p</w:t>
      </w:r>
      <w:r w:rsidR="00102C6D" w:rsidRPr="005D6BE9">
        <w:rPr>
          <w:rFonts w:ascii="Arial" w:hAnsi="Arial" w:cs="Arial"/>
          <w:lang w:val="en-GB"/>
        </w:rPr>
        <w:t>assage of the Crimes Legislation Amendment (Slavery, Slavery-like Conditions and People Trafficking) Act 2012 (Cth).</w:t>
      </w:r>
      <w:r w:rsidR="006A79F0" w:rsidRPr="005D6BE9">
        <w:rPr>
          <w:rFonts w:ascii="Arial" w:hAnsi="Arial" w:cs="Arial"/>
          <w:i/>
          <w:iCs/>
          <w:lang w:val="en-GB"/>
        </w:rPr>
        <w:t xml:space="preserve"> </w:t>
      </w:r>
      <w:r w:rsidR="00570279" w:rsidRPr="005D6BE9">
        <w:rPr>
          <w:rFonts w:ascii="Arial" w:hAnsi="Arial" w:cs="Arial"/>
          <w:lang w:val="en-GB"/>
        </w:rPr>
        <w:t>This piece of legislation was initiated with the release of the</w:t>
      </w:r>
      <w:r w:rsidR="001A3132" w:rsidRPr="005D6BE9">
        <w:rPr>
          <w:rFonts w:ascii="Arial" w:hAnsi="Arial" w:cs="Arial"/>
          <w:lang w:val="en-GB"/>
        </w:rPr>
        <w:t xml:space="preserve"> </w:t>
      </w:r>
      <w:bookmarkStart w:id="0" w:name="_Hlk92883340"/>
      <w:r w:rsidR="00570279" w:rsidRPr="005D6BE9">
        <w:rPr>
          <w:rFonts w:ascii="Arial" w:hAnsi="Arial" w:cs="Arial"/>
          <w:i/>
          <w:iCs/>
          <w:lang w:val="en-GB"/>
        </w:rPr>
        <w:t>Crimes Legislation Amendment (Slavery, Slavery-like Conditions and People Trafficking) Bill 2012 [Provisions]</w:t>
      </w:r>
      <w:r w:rsidR="00C73450" w:rsidRPr="005D6BE9">
        <w:rPr>
          <w:rFonts w:ascii="Arial" w:hAnsi="Arial" w:cs="Arial"/>
          <w:i/>
          <w:iCs/>
          <w:lang w:val="en-GB"/>
        </w:rPr>
        <w:t xml:space="preserve"> </w:t>
      </w:r>
      <w:r w:rsidR="00250BFB" w:rsidRPr="005D6BE9">
        <w:rPr>
          <w:rFonts w:ascii="Arial" w:hAnsi="Arial" w:cs="Arial"/>
          <w:lang w:val="en-GB"/>
        </w:rPr>
        <w:t xml:space="preserve">inquiry </w:t>
      </w:r>
      <w:r w:rsidR="00570279" w:rsidRPr="005D6BE9">
        <w:rPr>
          <w:rFonts w:ascii="Arial" w:hAnsi="Arial" w:cs="Arial"/>
          <w:lang w:val="en-GB"/>
        </w:rPr>
        <w:t xml:space="preserve">report (from here onwards referred to as the </w:t>
      </w:r>
      <w:r w:rsidR="00570279" w:rsidRPr="005D6BE9">
        <w:rPr>
          <w:rFonts w:ascii="Arial" w:hAnsi="Arial" w:cs="Arial"/>
          <w:i/>
          <w:iCs/>
          <w:lang w:val="en-GB"/>
        </w:rPr>
        <w:t xml:space="preserve">Crimes </w:t>
      </w:r>
      <w:r w:rsidR="00570279" w:rsidRPr="005D6BE9">
        <w:rPr>
          <w:rFonts w:ascii="Arial" w:hAnsi="Arial" w:cs="Arial"/>
          <w:i/>
          <w:iCs/>
          <w:lang w:val="en-GB"/>
        </w:rPr>
        <w:lastRenderedPageBreak/>
        <w:t>Amendment Report</w:t>
      </w:r>
      <w:r w:rsidR="00570279" w:rsidRPr="005D6BE9">
        <w:rPr>
          <w:rFonts w:ascii="Arial" w:hAnsi="Arial" w:cs="Arial"/>
          <w:lang w:val="en-GB"/>
        </w:rPr>
        <w:t>).</w:t>
      </w:r>
      <w:bookmarkEnd w:id="0"/>
      <w:r w:rsidR="00570279" w:rsidRPr="005D6BE9">
        <w:rPr>
          <w:rFonts w:ascii="Arial" w:hAnsi="Arial" w:cs="Arial"/>
          <w:lang w:val="en-GB"/>
        </w:rPr>
        <w:t xml:space="preserve"> One of the primary purposes of this </w:t>
      </w:r>
      <w:r w:rsidR="00C73450" w:rsidRPr="005D6BE9">
        <w:rPr>
          <w:rFonts w:ascii="Arial" w:hAnsi="Arial" w:cs="Arial"/>
          <w:lang w:val="en-GB"/>
        </w:rPr>
        <w:t>Act</w:t>
      </w:r>
      <w:r w:rsidR="00570279" w:rsidRPr="005D6BE9">
        <w:rPr>
          <w:rFonts w:ascii="Arial" w:hAnsi="Arial" w:cs="Arial"/>
          <w:lang w:val="en-GB"/>
        </w:rPr>
        <w:t xml:space="preserve"> was to repeal the sexual element in the ‘deceptive recruiting for sexual services’ and ‘sexual servitude’ offences to allow trafficking laws to be applied to non-sexual forms of servitude and all forms of deceptive recruiting (The Parliament of the Commonwealth of Australia, 2012). The need to prove a sexual element to gain a ‘deceptive recruiting’ and ‘servitude’ conviction</w:t>
      </w:r>
      <w:r w:rsidR="00D447F7" w:rsidRPr="005D6BE9">
        <w:rPr>
          <w:rFonts w:ascii="Arial" w:hAnsi="Arial" w:cs="Arial"/>
          <w:lang w:val="en-GB"/>
        </w:rPr>
        <w:t xml:space="preserve"> limited the application of th</w:t>
      </w:r>
      <w:r w:rsidR="006B3C7B" w:rsidRPr="005D6BE9">
        <w:rPr>
          <w:rFonts w:ascii="Arial" w:hAnsi="Arial" w:cs="Arial"/>
          <w:lang w:val="en-GB"/>
        </w:rPr>
        <w:t xml:space="preserve">ese </w:t>
      </w:r>
      <w:r w:rsidR="00D447F7" w:rsidRPr="005D6BE9">
        <w:rPr>
          <w:rFonts w:ascii="Arial" w:hAnsi="Arial" w:cs="Arial"/>
          <w:lang w:val="en-GB"/>
        </w:rPr>
        <w:t>offence</w:t>
      </w:r>
      <w:r w:rsidR="006B3C7B" w:rsidRPr="005D6BE9">
        <w:rPr>
          <w:rFonts w:ascii="Arial" w:hAnsi="Arial" w:cs="Arial"/>
          <w:lang w:val="en-GB"/>
        </w:rPr>
        <w:t>s</w:t>
      </w:r>
      <w:r w:rsidR="00D447F7" w:rsidRPr="005D6BE9">
        <w:rPr>
          <w:rFonts w:ascii="Arial" w:hAnsi="Arial" w:cs="Arial"/>
          <w:lang w:val="en-GB"/>
        </w:rPr>
        <w:t xml:space="preserve"> to the sex industry.</w:t>
      </w:r>
      <w:r w:rsidR="00B37E09" w:rsidRPr="005D6BE9">
        <w:rPr>
          <w:rFonts w:ascii="Arial" w:hAnsi="Arial" w:cs="Arial"/>
          <w:lang w:val="en-GB"/>
        </w:rPr>
        <w:t xml:space="preserve"> </w:t>
      </w:r>
      <w:r w:rsidR="00570279" w:rsidRPr="005D6BE9">
        <w:rPr>
          <w:rFonts w:ascii="Arial" w:hAnsi="Arial" w:cs="Arial"/>
          <w:lang w:val="en-GB"/>
        </w:rPr>
        <w:t>Consequently, these offences discursively, materially, and exclusively connected human trafficking to the sex industry (The Parliament of the Commonwealth of Australia, 2012,</w:t>
      </w:r>
      <w:r w:rsidR="00182235" w:rsidRPr="005D6BE9">
        <w:rPr>
          <w:rFonts w:ascii="Arial" w:hAnsi="Arial" w:cs="Arial"/>
          <w:lang w:val="en-GB"/>
        </w:rPr>
        <w:t xml:space="preserve"> </w:t>
      </w:r>
      <w:r w:rsidR="00570279" w:rsidRPr="005D6BE9">
        <w:rPr>
          <w:rFonts w:ascii="Arial" w:hAnsi="Arial" w:cs="Arial"/>
          <w:lang w:val="en-GB"/>
        </w:rPr>
        <w:t xml:space="preserve">1). The </w:t>
      </w:r>
      <w:r w:rsidR="00570279" w:rsidRPr="005D6BE9">
        <w:rPr>
          <w:rFonts w:ascii="Arial" w:hAnsi="Arial" w:cs="Arial"/>
          <w:i/>
          <w:iCs/>
          <w:lang w:val="en-GB"/>
        </w:rPr>
        <w:t xml:space="preserve">Crimes Amendment </w:t>
      </w:r>
      <w:r w:rsidR="00182235" w:rsidRPr="005D6BE9">
        <w:rPr>
          <w:rFonts w:ascii="Arial" w:hAnsi="Arial" w:cs="Arial"/>
          <w:i/>
          <w:iCs/>
          <w:lang w:val="en-GB"/>
        </w:rPr>
        <w:t>R</w:t>
      </w:r>
      <w:r w:rsidR="00570279" w:rsidRPr="005D6BE9">
        <w:rPr>
          <w:rFonts w:ascii="Arial" w:hAnsi="Arial" w:cs="Arial"/>
          <w:i/>
          <w:iCs/>
          <w:lang w:val="en-GB"/>
        </w:rPr>
        <w:t>eport</w:t>
      </w:r>
      <w:r w:rsidR="00570279" w:rsidRPr="005D6BE9">
        <w:rPr>
          <w:rFonts w:ascii="Arial" w:hAnsi="Arial" w:cs="Arial"/>
          <w:lang w:val="en-GB"/>
        </w:rPr>
        <w:t xml:space="preserve"> supported the introduction of these amendments</w:t>
      </w:r>
      <w:r w:rsidR="00C73450" w:rsidRPr="005D6BE9">
        <w:rPr>
          <w:rFonts w:ascii="Arial" w:hAnsi="Arial" w:cs="Arial"/>
          <w:lang w:val="en-GB"/>
        </w:rPr>
        <w:t xml:space="preserve"> and f</w:t>
      </w:r>
      <w:r w:rsidR="00570279" w:rsidRPr="005D6BE9">
        <w:rPr>
          <w:rFonts w:ascii="Arial" w:hAnsi="Arial" w:cs="Arial"/>
          <w:lang w:val="en-GB"/>
        </w:rPr>
        <w:t>ollowing the release of the</w:t>
      </w:r>
      <w:r w:rsidR="00C73450" w:rsidRPr="005D6BE9">
        <w:rPr>
          <w:rFonts w:ascii="Arial" w:hAnsi="Arial" w:cs="Arial"/>
          <w:i/>
          <w:iCs/>
          <w:lang w:val="en-GB"/>
        </w:rPr>
        <w:t xml:space="preserve"> </w:t>
      </w:r>
      <w:r w:rsidR="00C73450" w:rsidRPr="005D6BE9">
        <w:rPr>
          <w:rFonts w:ascii="Arial" w:hAnsi="Arial" w:cs="Arial"/>
          <w:lang w:val="en-GB"/>
        </w:rPr>
        <w:t>Report</w:t>
      </w:r>
      <w:r w:rsidR="00570279" w:rsidRPr="005D6BE9">
        <w:rPr>
          <w:rFonts w:ascii="Arial" w:hAnsi="Arial" w:cs="Arial"/>
          <w:lang w:val="en-GB"/>
        </w:rPr>
        <w:t xml:space="preserve">, the changes to Australia’s human trafficking legal response were successfully implemented. </w:t>
      </w:r>
    </w:p>
    <w:p w14:paraId="5F0CAC88" w14:textId="77777777" w:rsidR="005D6BE9" w:rsidRPr="005D6BE9" w:rsidRDefault="005D6BE9" w:rsidP="005D6BE9">
      <w:pPr>
        <w:spacing w:after="0" w:line="360" w:lineRule="auto"/>
        <w:ind w:firstLine="709"/>
        <w:jc w:val="both"/>
        <w:rPr>
          <w:rFonts w:ascii="Arial" w:hAnsi="Arial" w:cs="Arial"/>
          <w:lang w:val="en-GB"/>
        </w:rPr>
      </w:pPr>
    </w:p>
    <w:p w14:paraId="11B14692" w14:textId="0443B9A6" w:rsidR="00570279" w:rsidRDefault="00570279" w:rsidP="005D6BE9">
      <w:pPr>
        <w:spacing w:after="0" w:line="360" w:lineRule="auto"/>
        <w:ind w:firstLine="709"/>
        <w:jc w:val="both"/>
        <w:rPr>
          <w:rFonts w:ascii="Arial" w:hAnsi="Arial" w:cs="Arial"/>
          <w:lang w:val="en-GB"/>
        </w:rPr>
      </w:pPr>
      <w:r w:rsidRPr="005D6BE9">
        <w:rPr>
          <w:rFonts w:ascii="Arial" w:hAnsi="Arial" w:cs="Arial"/>
          <w:lang w:val="en-GB"/>
        </w:rPr>
        <w:t xml:space="preserve">Whilst previous inquiries largely focused on the sex industry, the 2012 legal amendments </w:t>
      </w:r>
      <w:r w:rsidR="00975B42" w:rsidRPr="005D6BE9">
        <w:rPr>
          <w:rFonts w:ascii="Arial" w:hAnsi="Arial" w:cs="Arial"/>
          <w:lang w:val="en-GB"/>
        </w:rPr>
        <w:t xml:space="preserve">suggested in the </w:t>
      </w:r>
      <w:r w:rsidR="00975B42" w:rsidRPr="005D6BE9">
        <w:rPr>
          <w:rFonts w:ascii="Arial" w:hAnsi="Arial" w:cs="Arial"/>
          <w:i/>
          <w:iCs/>
          <w:lang w:val="en-GB"/>
        </w:rPr>
        <w:t xml:space="preserve">Crimes Amendment Report </w:t>
      </w:r>
      <w:r w:rsidRPr="005D6BE9">
        <w:rPr>
          <w:rFonts w:ascii="Arial" w:hAnsi="Arial" w:cs="Arial"/>
          <w:lang w:val="en-GB"/>
        </w:rPr>
        <w:t xml:space="preserve">worked to de-sexualise </w:t>
      </w:r>
      <w:r w:rsidR="00DE7004" w:rsidRPr="005D6BE9">
        <w:rPr>
          <w:rFonts w:ascii="Arial" w:hAnsi="Arial" w:cs="Arial"/>
          <w:lang w:val="en-GB"/>
        </w:rPr>
        <w:t xml:space="preserve">Australian </w:t>
      </w:r>
      <w:r w:rsidRPr="005D6BE9">
        <w:rPr>
          <w:rFonts w:ascii="Arial" w:hAnsi="Arial" w:cs="Arial"/>
          <w:lang w:val="en-GB"/>
        </w:rPr>
        <w:t>human trafficking legislation by repealing the requirement to prove a commercial sexual element when prosecuting human trafficking crimes (The Parliament of the Commonwealth of Australia, 2012). This was due to the detection of the crime in industries other than the sex industry, such as in the domestic and hospitality industries (LCALC, 2012, 1). The acknowledgement that human trafficking is not unique to the sex industry assisted in shifting national discourse away from singling out sex work as directly responsible for exploitation. Additionally, the assumption that sex trafficking is distinct to labour trafficking was de</w:t>
      </w:r>
      <w:r w:rsidR="001E523F" w:rsidRPr="005D6BE9">
        <w:rPr>
          <w:rFonts w:ascii="Arial" w:hAnsi="Arial" w:cs="Arial"/>
          <w:lang w:val="en-GB"/>
        </w:rPr>
        <w:t>-</w:t>
      </w:r>
      <w:r w:rsidRPr="005D6BE9">
        <w:rPr>
          <w:rFonts w:ascii="Arial" w:hAnsi="Arial" w:cs="Arial"/>
          <w:lang w:val="en-GB"/>
        </w:rPr>
        <w:t>stabilised as a result of the move to ensure th</w:t>
      </w:r>
      <w:r w:rsidR="00DE7004" w:rsidRPr="005D6BE9">
        <w:rPr>
          <w:rFonts w:ascii="Arial" w:hAnsi="Arial" w:cs="Arial"/>
          <w:lang w:val="en-GB"/>
        </w:rPr>
        <w:t>at the</w:t>
      </w:r>
      <w:r w:rsidRPr="005D6BE9">
        <w:rPr>
          <w:rFonts w:ascii="Arial" w:hAnsi="Arial" w:cs="Arial"/>
          <w:lang w:val="en-GB"/>
        </w:rPr>
        <w:t xml:space="preserve"> trafficking offences could be </w:t>
      </w:r>
      <w:r w:rsidR="00DE7004" w:rsidRPr="005D6BE9">
        <w:rPr>
          <w:rFonts w:ascii="Arial" w:hAnsi="Arial" w:cs="Arial"/>
          <w:lang w:val="en-GB"/>
        </w:rPr>
        <w:t>applied to</w:t>
      </w:r>
      <w:r w:rsidRPr="005D6BE9">
        <w:rPr>
          <w:rFonts w:ascii="Arial" w:hAnsi="Arial" w:cs="Arial"/>
          <w:lang w:val="en-GB"/>
        </w:rPr>
        <w:t xml:space="preserve"> any industry. </w:t>
      </w:r>
    </w:p>
    <w:p w14:paraId="3535B96C" w14:textId="77777777" w:rsidR="005D6BE9" w:rsidRPr="005D6BE9" w:rsidRDefault="005D6BE9" w:rsidP="005D6BE9">
      <w:pPr>
        <w:spacing w:after="0" w:line="360" w:lineRule="auto"/>
        <w:ind w:firstLine="709"/>
        <w:jc w:val="both"/>
        <w:rPr>
          <w:rFonts w:ascii="Arial" w:hAnsi="Arial" w:cs="Arial"/>
          <w:lang w:val="en-GB"/>
        </w:rPr>
      </w:pPr>
    </w:p>
    <w:p w14:paraId="58ED1A31" w14:textId="69172CD6" w:rsidR="00570279" w:rsidRDefault="00570279" w:rsidP="005D6BE9">
      <w:pPr>
        <w:spacing w:after="0" w:line="360" w:lineRule="auto"/>
        <w:ind w:firstLine="709"/>
        <w:jc w:val="both"/>
        <w:rPr>
          <w:rFonts w:ascii="Arial" w:hAnsi="Arial" w:cs="Arial"/>
          <w:lang w:val="en-GB"/>
        </w:rPr>
      </w:pPr>
      <w:r w:rsidRPr="005D6BE9">
        <w:rPr>
          <w:rFonts w:ascii="Arial" w:hAnsi="Arial" w:cs="Arial"/>
          <w:lang w:val="en-GB"/>
        </w:rPr>
        <w:t xml:space="preserve">The acknowledgement that trafficking is not unique to the sex industry and can occur in any industry represents a landmark shift in Australian discourse which previously limited conversations regarding victims and offenders of </w:t>
      </w:r>
      <w:r w:rsidR="00C73450" w:rsidRPr="005D6BE9">
        <w:rPr>
          <w:rFonts w:ascii="Arial" w:hAnsi="Arial" w:cs="Arial"/>
          <w:lang w:val="en-GB"/>
        </w:rPr>
        <w:t>human trafficking</w:t>
      </w:r>
      <w:r w:rsidRPr="005D6BE9">
        <w:rPr>
          <w:rFonts w:ascii="Arial" w:hAnsi="Arial" w:cs="Arial"/>
          <w:lang w:val="en-GB"/>
        </w:rPr>
        <w:t xml:space="preserve"> to be exclusively located in the sex industry. </w:t>
      </w:r>
      <w:r w:rsidR="007D103A" w:rsidRPr="005D6BE9">
        <w:rPr>
          <w:rFonts w:ascii="Arial" w:hAnsi="Arial" w:cs="Arial"/>
          <w:lang w:val="en-GB"/>
        </w:rPr>
        <w:t>Additionally</w:t>
      </w:r>
      <w:r w:rsidRPr="005D6BE9">
        <w:rPr>
          <w:rFonts w:ascii="Arial" w:hAnsi="Arial" w:cs="Arial"/>
          <w:lang w:val="en-GB"/>
        </w:rPr>
        <w:t xml:space="preserve">, </w:t>
      </w:r>
      <w:r w:rsidRPr="005D6BE9">
        <w:rPr>
          <w:rFonts w:ascii="Arial" w:hAnsi="Arial" w:cs="Arial"/>
          <w:i/>
          <w:iCs/>
          <w:lang w:val="en-GB"/>
        </w:rPr>
        <w:t>the Crimes Amendment Report</w:t>
      </w:r>
      <w:r w:rsidRPr="005D6BE9">
        <w:rPr>
          <w:rFonts w:ascii="Arial" w:hAnsi="Arial" w:cs="Arial"/>
          <w:lang w:val="en-GB"/>
        </w:rPr>
        <w:t xml:space="preserve"> (LCALC, 2012) introduces the category migrant sex worker into federal human trafficking inquiry discussions. The public inquiry report characterises migrant sex workers as willing sex workers who have travelled to Australia to work in the sex industry and who are different to victims (LCALC, 2012). </w:t>
      </w:r>
    </w:p>
    <w:p w14:paraId="39200E52" w14:textId="77777777" w:rsidR="005D6BE9" w:rsidRPr="005D6BE9" w:rsidRDefault="005D6BE9" w:rsidP="005D6BE9">
      <w:pPr>
        <w:spacing w:after="0" w:line="360" w:lineRule="auto"/>
        <w:ind w:firstLine="709"/>
        <w:jc w:val="both"/>
        <w:rPr>
          <w:rFonts w:ascii="Arial" w:hAnsi="Arial" w:cs="Arial"/>
          <w:lang w:val="en-GB"/>
        </w:rPr>
      </w:pPr>
    </w:p>
    <w:p w14:paraId="1B12AAC3" w14:textId="1DD22DF1" w:rsidR="00570279" w:rsidRDefault="00570279" w:rsidP="005D6BE9">
      <w:pPr>
        <w:spacing w:after="0" w:line="360" w:lineRule="auto"/>
        <w:ind w:firstLine="709"/>
        <w:jc w:val="both"/>
        <w:rPr>
          <w:rFonts w:ascii="Arial" w:hAnsi="Arial" w:cs="Arial"/>
          <w:lang w:val="en-GB"/>
        </w:rPr>
      </w:pPr>
      <w:r w:rsidRPr="005D6BE9">
        <w:rPr>
          <w:rFonts w:ascii="Arial" w:hAnsi="Arial" w:cs="Arial"/>
          <w:lang w:val="en-GB"/>
        </w:rPr>
        <w:t xml:space="preserve">Since the modernisation of human trafficking laws, Australia has secured 20 convictions associated with </w:t>
      </w:r>
      <w:r w:rsidR="00C73450" w:rsidRPr="005D6BE9">
        <w:rPr>
          <w:rFonts w:ascii="Arial" w:hAnsi="Arial" w:cs="Arial"/>
          <w:lang w:val="en-GB"/>
        </w:rPr>
        <w:t>human trafficking</w:t>
      </w:r>
      <w:r w:rsidRPr="005D6BE9">
        <w:rPr>
          <w:rFonts w:ascii="Arial" w:hAnsi="Arial" w:cs="Arial"/>
          <w:lang w:val="en-GB"/>
        </w:rPr>
        <w:t xml:space="preserve"> between 2004 to February 2019 (Office for Women in the Department of Prime Minister and Cabinet, 2019, 7). The term ‘human trafficking’ describes a range of activities criminalised under Australian federal law</w:t>
      </w:r>
      <w:r w:rsidR="00077B7C" w:rsidRPr="005D6BE9">
        <w:rPr>
          <w:rFonts w:ascii="Arial" w:hAnsi="Arial" w:cs="Arial"/>
          <w:lang w:val="en-GB"/>
        </w:rPr>
        <w:t>, including</w:t>
      </w:r>
      <w:r w:rsidRPr="005D6BE9">
        <w:rPr>
          <w:rFonts w:ascii="Arial" w:hAnsi="Arial" w:cs="Arial"/>
          <w:lang w:val="en-GB"/>
        </w:rPr>
        <w:t xml:space="preserve"> slavery; servitude; forced labour; deceptive recruiting; forced marriage; trafficking in persons; domestic, child and organ trafficking; and debt bondage (Criminal Code 1995, Cth). </w:t>
      </w:r>
    </w:p>
    <w:p w14:paraId="23393B56" w14:textId="77777777" w:rsidR="005D6BE9" w:rsidRPr="005D6BE9" w:rsidRDefault="005D6BE9" w:rsidP="005D6BE9">
      <w:pPr>
        <w:spacing w:after="0" w:line="360" w:lineRule="auto"/>
        <w:ind w:firstLine="709"/>
        <w:jc w:val="both"/>
        <w:rPr>
          <w:rFonts w:ascii="Arial" w:hAnsi="Arial" w:cs="Arial"/>
          <w:lang w:val="en-GB"/>
        </w:rPr>
      </w:pPr>
    </w:p>
    <w:p w14:paraId="362DAFF7" w14:textId="65A62257" w:rsidR="00570279" w:rsidRDefault="004A7525" w:rsidP="005D6BE9">
      <w:pPr>
        <w:spacing w:after="0" w:line="360" w:lineRule="auto"/>
        <w:ind w:firstLine="709"/>
        <w:jc w:val="both"/>
        <w:rPr>
          <w:rFonts w:ascii="Arial" w:hAnsi="Arial" w:cs="Arial"/>
          <w:lang w:val="en-GB"/>
        </w:rPr>
      </w:pPr>
      <w:r w:rsidRPr="005D6BE9">
        <w:rPr>
          <w:rFonts w:ascii="Arial" w:hAnsi="Arial" w:cs="Arial"/>
          <w:lang w:val="en-GB"/>
        </w:rPr>
        <w:t>T</w:t>
      </w:r>
      <w:r w:rsidR="00570279" w:rsidRPr="005D6BE9">
        <w:rPr>
          <w:rFonts w:ascii="Arial" w:hAnsi="Arial" w:cs="Arial"/>
          <w:lang w:val="en-GB"/>
        </w:rPr>
        <w:t xml:space="preserve">he </w:t>
      </w:r>
      <w:r w:rsidR="00205467" w:rsidRPr="005D6BE9">
        <w:rPr>
          <w:rFonts w:ascii="Arial" w:hAnsi="Arial" w:cs="Arial"/>
          <w:i/>
          <w:iCs/>
          <w:lang w:val="en-GB"/>
        </w:rPr>
        <w:t>Hidden in Plain Sight: An Inquiry into Establishing a Modern Slavery Act Report</w:t>
      </w:r>
      <w:r w:rsidR="007E19B1" w:rsidRPr="005D6BE9">
        <w:rPr>
          <w:rFonts w:ascii="Arial" w:hAnsi="Arial" w:cs="Arial"/>
          <w:lang w:val="en-GB"/>
        </w:rPr>
        <w:t xml:space="preserve"> (from here after referred to as the </w:t>
      </w:r>
      <w:r w:rsidR="007E19B1" w:rsidRPr="005D6BE9">
        <w:rPr>
          <w:rFonts w:ascii="Arial" w:hAnsi="Arial" w:cs="Arial"/>
          <w:i/>
          <w:iCs/>
          <w:lang w:val="en-GB"/>
        </w:rPr>
        <w:t>HPSR</w:t>
      </w:r>
      <w:r w:rsidR="007E19B1" w:rsidRPr="005D6BE9">
        <w:rPr>
          <w:rFonts w:ascii="Arial" w:hAnsi="Arial" w:cs="Arial"/>
          <w:lang w:val="en-GB"/>
        </w:rPr>
        <w:t>)</w:t>
      </w:r>
      <w:r w:rsidR="00205467" w:rsidRPr="005D6BE9">
        <w:rPr>
          <w:rFonts w:ascii="Arial" w:hAnsi="Arial" w:cs="Arial"/>
          <w:lang w:val="en-GB"/>
        </w:rPr>
        <w:t xml:space="preserve"> </w:t>
      </w:r>
      <w:r w:rsidR="0006680A" w:rsidRPr="005D6BE9">
        <w:rPr>
          <w:rFonts w:ascii="Arial" w:hAnsi="Arial" w:cs="Arial"/>
          <w:lang w:val="en-GB"/>
        </w:rPr>
        <w:t xml:space="preserve">provides a </w:t>
      </w:r>
      <w:r w:rsidR="00570279" w:rsidRPr="005D6BE9">
        <w:rPr>
          <w:rFonts w:ascii="Arial" w:hAnsi="Arial" w:cs="Arial"/>
          <w:lang w:val="en-GB"/>
        </w:rPr>
        <w:t>recent</w:t>
      </w:r>
      <w:r w:rsidR="003307B6" w:rsidRPr="005D6BE9">
        <w:rPr>
          <w:rFonts w:ascii="Arial" w:hAnsi="Arial" w:cs="Arial"/>
          <w:lang w:val="en-GB"/>
        </w:rPr>
        <w:t>,</w:t>
      </w:r>
      <w:r w:rsidR="00570279" w:rsidRPr="005D6BE9">
        <w:rPr>
          <w:rFonts w:ascii="Arial" w:hAnsi="Arial" w:cs="Arial"/>
          <w:lang w:val="en-GB"/>
        </w:rPr>
        <w:t xml:space="preserve"> detailed articulation of the Australia</w:t>
      </w:r>
      <w:r w:rsidR="006A64FE" w:rsidRPr="005D6BE9">
        <w:rPr>
          <w:rFonts w:ascii="Arial" w:hAnsi="Arial" w:cs="Arial"/>
          <w:lang w:val="en-GB"/>
        </w:rPr>
        <w:t>n</w:t>
      </w:r>
      <w:r w:rsidR="00570279" w:rsidRPr="005D6BE9">
        <w:rPr>
          <w:rFonts w:ascii="Arial" w:hAnsi="Arial" w:cs="Arial"/>
          <w:lang w:val="en-GB"/>
        </w:rPr>
        <w:t xml:space="preserve"> Government’s approach to human trafficking</w:t>
      </w:r>
      <w:r w:rsidR="00536BD3" w:rsidRPr="005D6BE9">
        <w:rPr>
          <w:rFonts w:ascii="Arial" w:hAnsi="Arial" w:cs="Arial"/>
          <w:lang w:val="en-GB"/>
        </w:rPr>
        <w:t xml:space="preserve">. </w:t>
      </w:r>
      <w:r w:rsidR="00C97725" w:rsidRPr="005D6BE9">
        <w:rPr>
          <w:rFonts w:ascii="Arial" w:hAnsi="Arial" w:cs="Arial"/>
          <w:lang w:val="en-GB"/>
        </w:rPr>
        <w:t xml:space="preserve">The </w:t>
      </w:r>
      <w:r w:rsidR="00C97725" w:rsidRPr="005D6BE9">
        <w:rPr>
          <w:rFonts w:ascii="Arial" w:hAnsi="Arial" w:cs="Arial"/>
          <w:i/>
          <w:iCs/>
          <w:lang w:val="en-GB"/>
        </w:rPr>
        <w:t xml:space="preserve">HPSR </w:t>
      </w:r>
      <w:r w:rsidR="00C97725" w:rsidRPr="005D6BE9">
        <w:rPr>
          <w:rFonts w:ascii="Arial" w:hAnsi="Arial" w:cs="Arial"/>
          <w:lang w:val="en-GB"/>
        </w:rPr>
        <w:t xml:space="preserve">was informed by 225 submitters from a variety of </w:t>
      </w:r>
      <w:r w:rsidR="00EE1266" w:rsidRPr="005D6BE9">
        <w:rPr>
          <w:rFonts w:ascii="Arial" w:hAnsi="Arial" w:cs="Arial"/>
          <w:lang w:val="en-GB"/>
        </w:rPr>
        <w:t xml:space="preserve">organisations, </w:t>
      </w:r>
      <w:r w:rsidR="00C97725" w:rsidRPr="005D6BE9">
        <w:rPr>
          <w:rFonts w:ascii="Arial" w:hAnsi="Arial" w:cs="Arial"/>
          <w:lang w:val="en-GB"/>
        </w:rPr>
        <w:t xml:space="preserve">industries and backgrounds and </w:t>
      </w:r>
      <w:r w:rsidR="00AD2C16" w:rsidRPr="005D6BE9">
        <w:rPr>
          <w:rFonts w:ascii="Arial" w:hAnsi="Arial" w:cs="Arial"/>
          <w:lang w:val="en-GB"/>
        </w:rPr>
        <w:t>there has not been a national trafficking inquiry that has attracted as many submitters</w:t>
      </w:r>
      <w:r w:rsidR="009E091F" w:rsidRPr="005D6BE9">
        <w:rPr>
          <w:rFonts w:ascii="Arial" w:hAnsi="Arial" w:cs="Arial"/>
          <w:lang w:val="en-GB"/>
        </w:rPr>
        <w:t xml:space="preserve"> since. </w:t>
      </w:r>
      <w:r w:rsidR="00570279" w:rsidRPr="005D6BE9">
        <w:rPr>
          <w:rFonts w:ascii="Arial" w:hAnsi="Arial" w:cs="Arial"/>
          <w:lang w:val="en-GB"/>
        </w:rPr>
        <w:t xml:space="preserve">The </w:t>
      </w:r>
      <w:r w:rsidR="0086495D" w:rsidRPr="005D6BE9">
        <w:rPr>
          <w:rFonts w:ascii="Arial" w:hAnsi="Arial" w:cs="Arial"/>
          <w:i/>
          <w:iCs/>
          <w:lang w:val="en-GB"/>
        </w:rPr>
        <w:t>HPSR</w:t>
      </w:r>
      <w:r w:rsidR="00570279" w:rsidRPr="005D6BE9">
        <w:rPr>
          <w:rFonts w:ascii="Arial" w:hAnsi="Arial" w:cs="Arial"/>
          <w:lang w:val="en-GB"/>
        </w:rPr>
        <w:t xml:space="preserve"> details the findings of the</w:t>
      </w:r>
      <w:r w:rsidR="00570279" w:rsidRPr="005D6BE9">
        <w:rPr>
          <w:rFonts w:ascii="Arial" w:hAnsi="Arial" w:cs="Arial"/>
          <w:i/>
          <w:iCs/>
          <w:lang w:val="en-GB"/>
        </w:rPr>
        <w:t xml:space="preserve"> Inquiry into establishing a Modern Slavery Act in Australia</w:t>
      </w:r>
      <w:r w:rsidR="00570279" w:rsidRPr="005D6BE9">
        <w:rPr>
          <w:rFonts w:ascii="Arial" w:hAnsi="Arial" w:cs="Arial"/>
          <w:lang w:val="en-GB"/>
        </w:rPr>
        <w:t xml:space="preserve"> (referred to as the </w:t>
      </w:r>
      <w:r w:rsidR="00570279" w:rsidRPr="005D6BE9">
        <w:rPr>
          <w:rFonts w:ascii="Arial" w:hAnsi="Arial" w:cs="Arial"/>
          <w:i/>
          <w:iCs/>
          <w:lang w:val="en-GB"/>
        </w:rPr>
        <w:t>Modern Slavery Inquiry</w:t>
      </w:r>
      <w:r w:rsidR="00570279" w:rsidRPr="005D6BE9">
        <w:rPr>
          <w:rFonts w:ascii="Arial" w:hAnsi="Arial" w:cs="Arial"/>
          <w:lang w:val="en-GB"/>
        </w:rPr>
        <w:t xml:space="preserve"> from here onwards). </w:t>
      </w:r>
      <w:r w:rsidR="00570279" w:rsidRPr="005D6BE9">
        <w:rPr>
          <w:rFonts w:ascii="Arial" w:hAnsi="Arial" w:cs="Arial"/>
          <w:i/>
          <w:iCs/>
          <w:lang w:val="en-GB"/>
        </w:rPr>
        <w:t>The Modern Slavery Inquiry</w:t>
      </w:r>
      <w:r w:rsidR="00570279" w:rsidRPr="005D6BE9">
        <w:rPr>
          <w:rFonts w:ascii="Arial" w:hAnsi="Arial" w:cs="Arial"/>
          <w:lang w:val="en-GB"/>
        </w:rPr>
        <w:t xml:space="preserve"> was established to investigate the adoption of a United Kingdom (UK) piece of human trafficking legislation, entitled the Modern Slavery Act. </w:t>
      </w:r>
      <w:r w:rsidR="004175C9" w:rsidRPr="005D6BE9">
        <w:rPr>
          <w:rFonts w:ascii="Arial" w:hAnsi="Arial" w:cs="Arial"/>
          <w:lang w:val="en-GB"/>
        </w:rPr>
        <w:t xml:space="preserve">If the </w:t>
      </w:r>
      <w:r w:rsidR="009E644B" w:rsidRPr="005D6BE9">
        <w:rPr>
          <w:rFonts w:ascii="Arial" w:hAnsi="Arial" w:cs="Arial"/>
          <w:lang w:val="en-GB"/>
        </w:rPr>
        <w:t xml:space="preserve">recommendation to implement a similar </w:t>
      </w:r>
      <w:r w:rsidR="00182235" w:rsidRPr="005D6BE9">
        <w:rPr>
          <w:rFonts w:ascii="Arial" w:hAnsi="Arial" w:cs="Arial"/>
          <w:lang w:val="en-GB"/>
        </w:rPr>
        <w:t>A</w:t>
      </w:r>
      <w:r w:rsidR="009E644B" w:rsidRPr="005D6BE9">
        <w:rPr>
          <w:rFonts w:ascii="Arial" w:hAnsi="Arial" w:cs="Arial"/>
          <w:lang w:val="en-GB"/>
        </w:rPr>
        <w:t xml:space="preserve">ct to the UK Modern Slavery Act </w:t>
      </w:r>
      <w:r w:rsidR="0038771F" w:rsidRPr="005D6BE9">
        <w:rPr>
          <w:rFonts w:ascii="Arial" w:hAnsi="Arial" w:cs="Arial"/>
          <w:lang w:val="en-GB"/>
        </w:rPr>
        <w:t>2015</w:t>
      </w:r>
      <w:r w:rsidR="0038771F" w:rsidRPr="005D6BE9">
        <w:rPr>
          <w:rFonts w:ascii="Arial" w:hAnsi="Arial" w:cs="Arial"/>
          <w:i/>
          <w:iCs/>
          <w:lang w:val="en-GB"/>
        </w:rPr>
        <w:t xml:space="preserve"> </w:t>
      </w:r>
      <w:r w:rsidR="009E644B" w:rsidRPr="005D6BE9">
        <w:rPr>
          <w:rFonts w:ascii="Arial" w:hAnsi="Arial" w:cs="Arial"/>
          <w:lang w:val="en-GB"/>
        </w:rPr>
        <w:t xml:space="preserve">is implemented, the </w:t>
      </w:r>
      <w:r w:rsidR="00D00288" w:rsidRPr="005D6BE9">
        <w:rPr>
          <w:rFonts w:ascii="Arial" w:hAnsi="Arial" w:cs="Arial"/>
          <w:lang w:val="en-GB"/>
        </w:rPr>
        <w:t>Report presents another landmar</w:t>
      </w:r>
      <w:r w:rsidR="0038771F" w:rsidRPr="005D6BE9">
        <w:rPr>
          <w:rFonts w:ascii="Arial" w:hAnsi="Arial" w:cs="Arial"/>
          <w:lang w:val="en-GB"/>
        </w:rPr>
        <w:t xml:space="preserve">k change to Australia’s human trafficking legal framework. </w:t>
      </w:r>
    </w:p>
    <w:p w14:paraId="3180441D" w14:textId="77777777" w:rsidR="005D6BE9" w:rsidRPr="005D6BE9" w:rsidRDefault="005D6BE9" w:rsidP="005D6BE9">
      <w:pPr>
        <w:spacing w:after="0" w:line="360" w:lineRule="auto"/>
        <w:ind w:firstLine="709"/>
        <w:jc w:val="both"/>
        <w:rPr>
          <w:rFonts w:ascii="Arial" w:hAnsi="Arial" w:cs="Arial"/>
          <w:lang w:val="en-GB"/>
        </w:rPr>
      </w:pPr>
    </w:p>
    <w:p w14:paraId="11C46841" w14:textId="20C1E494" w:rsidR="00570279" w:rsidRDefault="00570279" w:rsidP="005D6BE9">
      <w:pPr>
        <w:spacing w:after="0" w:line="360" w:lineRule="auto"/>
        <w:ind w:firstLine="709"/>
        <w:jc w:val="both"/>
        <w:rPr>
          <w:rFonts w:ascii="Arial" w:hAnsi="Arial" w:cs="Arial"/>
          <w:lang w:val="en-GB"/>
        </w:rPr>
      </w:pPr>
      <w:r w:rsidRPr="005D6BE9">
        <w:rPr>
          <w:rFonts w:ascii="Arial" w:hAnsi="Arial" w:cs="Arial"/>
          <w:lang w:val="en-GB"/>
        </w:rPr>
        <w:t xml:space="preserve">While the purpose of the inquiry was to assess whether an Act similar to the UK Modern Slavery Act 2015 should be adopted in Australia, the inquiry also posed a broad range of questions regarding the characteristics, prevalence, and best practice responses to human trafficking. As a result, the </w:t>
      </w:r>
      <w:r w:rsidR="0086495D" w:rsidRPr="005D6BE9">
        <w:rPr>
          <w:rFonts w:ascii="Arial" w:hAnsi="Arial" w:cs="Arial"/>
          <w:i/>
          <w:iCs/>
          <w:lang w:val="en-GB"/>
        </w:rPr>
        <w:t>HPSR</w:t>
      </w:r>
      <w:r w:rsidRPr="005D6BE9">
        <w:rPr>
          <w:rFonts w:ascii="Arial" w:hAnsi="Arial" w:cs="Arial"/>
          <w:lang w:val="en-GB"/>
        </w:rPr>
        <w:t xml:space="preserve"> presents rich insight into the </w:t>
      </w:r>
      <w:r w:rsidR="00D64199" w:rsidRPr="005D6BE9">
        <w:rPr>
          <w:rFonts w:ascii="Arial" w:hAnsi="Arial" w:cs="Arial"/>
          <w:lang w:val="en-GB"/>
        </w:rPr>
        <w:t xml:space="preserve">conceptualisation </w:t>
      </w:r>
      <w:r w:rsidRPr="005D6BE9">
        <w:rPr>
          <w:rFonts w:ascii="Arial" w:hAnsi="Arial" w:cs="Arial"/>
          <w:lang w:val="en-GB"/>
        </w:rPr>
        <w:t xml:space="preserve">of human trafficking and its relationship with the sex industry. This paper examines the </w:t>
      </w:r>
      <w:r w:rsidR="0086495D" w:rsidRPr="005D6BE9">
        <w:rPr>
          <w:rFonts w:ascii="Arial" w:hAnsi="Arial" w:cs="Arial"/>
          <w:i/>
          <w:iCs/>
          <w:lang w:val="en-GB"/>
        </w:rPr>
        <w:t>HPSR</w:t>
      </w:r>
      <w:r w:rsidRPr="005D6BE9">
        <w:rPr>
          <w:rFonts w:ascii="Arial" w:hAnsi="Arial" w:cs="Arial"/>
          <w:lang w:val="en-GB"/>
        </w:rPr>
        <w:t xml:space="preserve"> and other </w:t>
      </w:r>
      <w:r w:rsidR="00BC2AF4" w:rsidRPr="005D6BE9">
        <w:rPr>
          <w:rFonts w:ascii="Arial" w:hAnsi="Arial" w:cs="Arial"/>
          <w:lang w:val="en-GB"/>
        </w:rPr>
        <w:t xml:space="preserve">relevant </w:t>
      </w:r>
      <w:r w:rsidRPr="005D6BE9">
        <w:rPr>
          <w:rFonts w:ascii="Arial" w:hAnsi="Arial" w:cs="Arial"/>
          <w:lang w:val="en-GB"/>
        </w:rPr>
        <w:t xml:space="preserve">policy documents to </w:t>
      </w:r>
      <w:r w:rsidR="00E40E85" w:rsidRPr="005D6BE9">
        <w:rPr>
          <w:rFonts w:ascii="Arial" w:hAnsi="Arial" w:cs="Arial"/>
          <w:lang w:val="en-GB"/>
        </w:rPr>
        <w:t xml:space="preserve">understand </w:t>
      </w:r>
      <w:r w:rsidR="0067186A" w:rsidRPr="005D6BE9">
        <w:rPr>
          <w:rFonts w:ascii="Arial" w:hAnsi="Arial" w:cs="Arial"/>
          <w:lang w:val="en-GB"/>
        </w:rPr>
        <w:t>the complex deployment of assumptions and presuppositions in producing truths</w:t>
      </w:r>
      <w:r w:rsidR="0045114C" w:rsidRPr="005D6BE9">
        <w:rPr>
          <w:rFonts w:ascii="Arial" w:hAnsi="Arial" w:cs="Arial"/>
          <w:lang w:val="en-GB"/>
        </w:rPr>
        <w:t xml:space="preserve"> </w:t>
      </w:r>
      <w:r w:rsidR="0067186A" w:rsidRPr="005D6BE9">
        <w:rPr>
          <w:rFonts w:ascii="Arial" w:hAnsi="Arial" w:cs="Arial"/>
          <w:lang w:val="en-GB"/>
        </w:rPr>
        <w:t xml:space="preserve">and knowledge about trafficking in the Australian sex industry, </w:t>
      </w:r>
      <w:r w:rsidR="0045114C" w:rsidRPr="005D6BE9">
        <w:rPr>
          <w:rFonts w:ascii="Arial" w:hAnsi="Arial" w:cs="Arial"/>
          <w:lang w:val="en-GB"/>
        </w:rPr>
        <w:t>its victims</w:t>
      </w:r>
      <w:r w:rsidR="007B1137" w:rsidRPr="005D6BE9">
        <w:rPr>
          <w:rFonts w:ascii="Arial" w:hAnsi="Arial" w:cs="Arial"/>
          <w:lang w:val="en-GB"/>
        </w:rPr>
        <w:t>,</w:t>
      </w:r>
      <w:r w:rsidR="0045114C" w:rsidRPr="005D6BE9">
        <w:rPr>
          <w:rFonts w:ascii="Arial" w:hAnsi="Arial" w:cs="Arial"/>
          <w:lang w:val="en-GB"/>
        </w:rPr>
        <w:t xml:space="preserve"> and </w:t>
      </w:r>
      <w:r w:rsidR="00E40E85" w:rsidRPr="005D6BE9">
        <w:rPr>
          <w:rFonts w:ascii="Arial" w:hAnsi="Arial" w:cs="Arial"/>
          <w:lang w:val="en-GB"/>
        </w:rPr>
        <w:t xml:space="preserve">the solutions to combat it. </w:t>
      </w:r>
    </w:p>
    <w:p w14:paraId="496AC5A7" w14:textId="77777777" w:rsidR="005D6BE9" w:rsidRPr="005D6BE9" w:rsidRDefault="005D6BE9" w:rsidP="005D6BE9">
      <w:pPr>
        <w:spacing w:after="0" w:line="360" w:lineRule="auto"/>
        <w:ind w:firstLine="709"/>
        <w:jc w:val="both"/>
        <w:rPr>
          <w:rFonts w:ascii="Arial" w:hAnsi="Arial" w:cs="Arial"/>
          <w:lang w:val="en-GB"/>
        </w:rPr>
      </w:pPr>
    </w:p>
    <w:p w14:paraId="79F2298C" w14:textId="2905AC5C" w:rsidR="003B78B5" w:rsidRPr="005D6BE9" w:rsidRDefault="00570279" w:rsidP="005D6BE9">
      <w:pPr>
        <w:spacing w:after="0" w:line="360" w:lineRule="auto"/>
        <w:ind w:firstLine="709"/>
        <w:jc w:val="both"/>
        <w:rPr>
          <w:rFonts w:ascii="Arial" w:hAnsi="Arial" w:cs="Arial"/>
          <w:lang w:val="en-GB"/>
        </w:rPr>
      </w:pPr>
      <w:r w:rsidRPr="005D6BE9">
        <w:rPr>
          <w:rFonts w:ascii="Arial" w:hAnsi="Arial" w:cs="Arial"/>
          <w:lang w:val="en-GB"/>
        </w:rPr>
        <w:t xml:space="preserve">The review of significant inquiry reports and changes to Australia’s modern human trafficking legal framework highlighted how the relationship between sex work and trafficking was articulated and shaped by public inquiry reports. The </w:t>
      </w:r>
      <w:r w:rsidR="0086495D" w:rsidRPr="005D6BE9">
        <w:rPr>
          <w:rFonts w:ascii="Arial" w:hAnsi="Arial" w:cs="Arial"/>
          <w:i/>
          <w:iCs/>
          <w:lang w:val="en-GB"/>
        </w:rPr>
        <w:t>HPSR</w:t>
      </w:r>
      <w:r w:rsidRPr="005D6BE9">
        <w:rPr>
          <w:rFonts w:ascii="Arial" w:hAnsi="Arial" w:cs="Arial"/>
          <w:lang w:val="en-GB"/>
        </w:rPr>
        <w:t xml:space="preserve"> was also introduced as a valued primary source for analysis of this relationship as </w:t>
      </w:r>
      <w:r w:rsidR="0068449B" w:rsidRPr="005D6BE9">
        <w:rPr>
          <w:rFonts w:ascii="Arial" w:hAnsi="Arial" w:cs="Arial"/>
          <w:lang w:val="en-GB"/>
        </w:rPr>
        <w:t xml:space="preserve">it articulates </w:t>
      </w:r>
      <w:r w:rsidRPr="005D6BE9">
        <w:rPr>
          <w:rFonts w:ascii="Arial" w:hAnsi="Arial" w:cs="Arial"/>
          <w:lang w:val="en-GB"/>
        </w:rPr>
        <w:t xml:space="preserve">what is considered human trafficking, how it relates to the sex industry, and what might be best practice strategies to prevent and prosecute it. In the following section, this paper will focus on applying the WPR approach to analyse the ways in which the problem of human trafficking in the sex industry is constructed and deployed within the </w:t>
      </w:r>
      <w:r w:rsidR="0086495D" w:rsidRPr="005D6BE9">
        <w:rPr>
          <w:rFonts w:ascii="Arial" w:hAnsi="Arial" w:cs="Arial"/>
          <w:i/>
          <w:iCs/>
          <w:lang w:val="en-GB"/>
        </w:rPr>
        <w:t>HPSR</w:t>
      </w:r>
      <w:r w:rsidRPr="005D6BE9">
        <w:rPr>
          <w:rFonts w:ascii="Arial" w:hAnsi="Arial" w:cs="Arial"/>
          <w:lang w:val="en-GB"/>
        </w:rPr>
        <w:t xml:space="preserve"> (JFADT, 2017).</w:t>
      </w:r>
    </w:p>
    <w:p w14:paraId="5AC78293" w14:textId="77777777" w:rsidR="007A4859" w:rsidRPr="005D6BE9" w:rsidRDefault="007A4859" w:rsidP="005D6BE9">
      <w:pPr>
        <w:spacing w:after="0" w:line="360" w:lineRule="auto"/>
        <w:jc w:val="both"/>
        <w:rPr>
          <w:rFonts w:ascii="Arial" w:hAnsi="Arial" w:cs="Arial"/>
          <w:b/>
          <w:bCs/>
          <w:i/>
          <w:iCs/>
          <w:lang w:val="en-GB"/>
        </w:rPr>
      </w:pPr>
    </w:p>
    <w:p w14:paraId="51B1D8B7" w14:textId="202D60E0" w:rsidR="005D59B2" w:rsidRDefault="005D59B2" w:rsidP="005D6BE9">
      <w:pPr>
        <w:spacing w:after="0" w:line="360" w:lineRule="auto"/>
        <w:jc w:val="both"/>
        <w:rPr>
          <w:rFonts w:ascii="Arial" w:hAnsi="Arial" w:cs="Arial"/>
          <w:b/>
          <w:bCs/>
          <w:i/>
          <w:iCs/>
          <w:lang w:val="en-GB"/>
        </w:rPr>
      </w:pPr>
      <w:r w:rsidRPr="005D6BE9">
        <w:rPr>
          <w:rFonts w:ascii="Arial" w:hAnsi="Arial" w:cs="Arial"/>
          <w:b/>
          <w:bCs/>
          <w:i/>
          <w:iCs/>
          <w:lang w:val="en-GB"/>
        </w:rPr>
        <w:t>Methodology</w:t>
      </w:r>
    </w:p>
    <w:p w14:paraId="07EA369D" w14:textId="77777777" w:rsidR="005D6BE9" w:rsidRPr="005D6BE9" w:rsidRDefault="005D6BE9" w:rsidP="005D6BE9">
      <w:pPr>
        <w:spacing w:after="0" w:line="360" w:lineRule="auto"/>
        <w:jc w:val="both"/>
        <w:rPr>
          <w:rFonts w:ascii="Arial" w:hAnsi="Arial" w:cs="Arial"/>
          <w:b/>
          <w:bCs/>
          <w:lang w:val="en-GB"/>
        </w:rPr>
      </w:pPr>
    </w:p>
    <w:p w14:paraId="05BBE23F" w14:textId="3F3DD238" w:rsidR="008B7096" w:rsidRDefault="005D59B2" w:rsidP="005D6BE9">
      <w:pPr>
        <w:spacing w:after="0" w:line="360" w:lineRule="auto"/>
        <w:jc w:val="both"/>
        <w:rPr>
          <w:rFonts w:ascii="Arial" w:hAnsi="Arial" w:cs="Arial"/>
          <w:iCs/>
          <w:lang w:val="en-GB"/>
        </w:rPr>
      </w:pPr>
      <w:r w:rsidRPr="005D6BE9">
        <w:rPr>
          <w:rFonts w:ascii="Arial" w:hAnsi="Arial" w:cs="Arial"/>
          <w:lang w:val="en-GB"/>
        </w:rPr>
        <w:t xml:space="preserve">This paper applied the WPR approach to analyse the ways in which the problem of human trafficking in the sex industry is constructed and deployed within </w:t>
      </w:r>
      <w:r w:rsidRPr="005D6BE9">
        <w:rPr>
          <w:rFonts w:ascii="Arial" w:hAnsi="Arial" w:cs="Arial"/>
          <w:iCs/>
          <w:lang w:val="en-GB"/>
        </w:rPr>
        <w:t>the</w:t>
      </w:r>
      <w:r w:rsidRPr="005D6BE9">
        <w:rPr>
          <w:rFonts w:ascii="Arial" w:hAnsi="Arial" w:cs="Arial"/>
          <w:lang w:val="en-GB"/>
        </w:rPr>
        <w:t xml:space="preserve"> </w:t>
      </w:r>
      <w:r w:rsidR="0086495D" w:rsidRPr="005D6BE9">
        <w:rPr>
          <w:rFonts w:ascii="Arial" w:hAnsi="Arial" w:cs="Arial"/>
          <w:i/>
          <w:iCs/>
          <w:lang w:val="en-GB"/>
        </w:rPr>
        <w:t>HPSR</w:t>
      </w:r>
      <w:r w:rsidRPr="005D6BE9">
        <w:rPr>
          <w:rFonts w:ascii="Arial" w:hAnsi="Arial" w:cs="Arial"/>
          <w:i/>
          <w:iCs/>
          <w:lang w:val="en-GB"/>
        </w:rPr>
        <w:t xml:space="preserve"> </w:t>
      </w:r>
      <w:r w:rsidRPr="005D6BE9">
        <w:rPr>
          <w:rFonts w:ascii="Arial" w:hAnsi="Arial" w:cs="Arial"/>
          <w:lang w:val="en-GB"/>
        </w:rPr>
        <w:t>(JFADT, 2017).</w:t>
      </w:r>
      <w:r w:rsidR="0082392D" w:rsidRPr="005D6BE9">
        <w:rPr>
          <w:rFonts w:ascii="Arial" w:hAnsi="Arial" w:cs="Arial"/>
          <w:iCs/>
          <w:lang w:val="en-GB"/>
        </w:rPr>
        <w:t xml:space="preserve"> </w:t>
      </w:r>
      <w:r w:rsidR="008B7096" w:rsidRPr="005D6BE9">
        <w:rPr>
          <w:rFonts w:ascii="Arial" w:hAnsi="Arial" w:cs="Arial"/>
          <w:iCs/>
          <w:lang w:val="en-GB"/>
        </w:rPr>
        <w:t>In particular, the chapters ‘Sex Trafficking’, ‘Labour Exploitation and Australia’s Visa Framework’</w:t>
      </w:r>
      <w:r w:rsidR="00FD2584" w:rsidRPr="005D6BE9">
        <w:rPr>
          <w:rFonts w:ascii="Arial" w:hAnsi="Arial" w:cs="Arial"/>
          <w:iCs/>
          <w:lang w:val="en-GB"/>
        </w:rPr>
        <w:t>,</w:t>
      </w:r>
      <w:r w:rsidR="008B7096" w:rsidRPr="005D6BE9">
        <w:rPr>
          <w:rFonts w:ascii="Arial" w:hAnsi="Arial" w:cs="Arial"/>
          <w:iCs/>
          <w:lang w:val="en-GB"/>
        </w:rPr>
        <w:t xml:space="preserve"> </w:t>
      </w:r>
      <w:r w:rsidR="008B7096" w:rsidRPr="005D6BE9">
        <w:rPr>
          <w:rFonts w:ascii="Arial" w:hAnsi="Arial" w:cs="Arial"/>
          <w:iCs/>
          <w:lang w:val="en-GB"/>
        </w:rPr>
        <w:lastRenderedPageBreak/>
        <w:t xml:space="preserve">and ‘Defining and Measuring Modern Slavery’ (JFADT, 2017) were selected for closer analysis as they provided insight into the </w:t>
      </w:r>
      <w:r w:rsidR="0086495D" w:rsidRPr="005D6BE9">
        <w:rPr>
          <w:rFonts w:ascii="Arial" w:hAnsi="Arial" w:cs="Arial"/>
          <w:i/>
          <w:iCs/>
          <w:lang w:val="en-GB"/>
        </w:rPr>
        <w:t>HPSR</w:t>
      </w:r>
      <w:r w:rsidR="008B7096" w:rsidRPr="005D6BE9">
        <w:rPr>
          <w:rFonts w:ascii="Arial" w:hAnsi="Arial" w:cs="Arial"/>
          <w:i/>
          <w:lang w:val="en-GB"/>
        </w:rPr>
        <w:t>’s</w:t>
      </w:r>
      <w:r w:rsidR="008B7096" w:rsidRPr="005D6BE9">
        <w:rPr>
          <w:rFonts w:ascii="Arial" w:hAnsi="Arial" w:cs="Arial"/>
          <w:iCs/>
          <w:lang w:val="en-GB"/>
        </w:rPr>
        <w:t xml:space="preserve"> understanding of human trafficking in the sex industry. </w:t>
      </w:r>
    </w:p>
    <w:p w14:paraId="41B67620" w14:textId="77777777" w:rsidR="005D6BE9" w:rsidRPr="005D6BE9" w:rsidRDefault="005D6BE9" w:rsidP="005D6BE9">
      <w:pPr>
        <w:spacing w:after="0" w:line="360" w:lineRule="auto"/>
        <w:jc w:val="both"/>
        <w:rPr>
          <w:rFonts w:ascii="Arial" w:hAnsi="Arial" w:cs="Arial"/>
          <w:iCs/>
          <w:lang w:val="en-GB"/>
        </w:rPr>
      </w:pPr>
    </w:p>
    <w:p w14:paraId="6299B1E2" w14:textId="4E469B2D" w:rsidR="005D59B2" w:rsidRPr="005D6BE9" w:rsidRDefault="005D59B2" w:rsidP="005D6BE9">
      <w:pPr>
        <w:spacing w:after="0" w:line="360" w:lineRule="auto"/>
        <w:ind w:firstLine="709"/>
        <w:jc w:val="both"/>
        <w:rPr>
          <w:rFonts w:ascii="Arial" w:hAnsi="Arial" w:cs="Arial"/>
          <w:lang w:val="en-GB"/>
        </w:rPr>
      </w:pPr>
      <w:r w:rsidRPr="005D6BE9">
        <w:rPr>
          <w:rFonts w:ascii="Arial" w:hAnsi="Arial" w:cs="Arial"/>
          <w:iCs/>
          <w:lang w:val="en-GB"/>
        </w:rPr>
        <w:t>The WPR</w:t>
      </w:r>
      <w:r w:rsidRPr="005D6BE9">
        <w:rPr>
          <w:rFonts w:ascii="Arial" w:hAnsi="Arial" w:cs="Arial"/>
          <w:lang w:val="en-GB"/>
        </w:rPr>
        <w:t xml:space="preserve"> approach deconstructs policy texts by asking 6 interrelated questions: </w:t>
      </w:r>
    </w:p>
    <w:p w14:paraId="3D4A28FB" w14:textId="77777777" w:rsidR="005D59B2" w:rsidRPr="005D6BE9" w:rsidRDefault="005D59B2" w:rsidP="005D6BE9">
      <w:pPr>
        <w:numPr>
          <w:ilvl w:val="2"/>
          <w:numId w:val="1"/>
        </w:numPr>
        <w:spacing w:after="0" w:line="360" w:lineRule="auto"/>
        <w:jc w:val="both"/>
        <w:rPr>
          <w:rFonts w:ascii="Arial" w:hAnsi="Arial" w:cs="Arial"/>
          <w:lang w:val="en-GB"/>
        </w:rPr>
      </w:pPr>
      <w:r w:rsidRPr="005D6BE9">
        <w:rPr>
          <w:rFonts w:ascii="Arial" w:hAnsi="Arial" w:cs="Arial"/>
          <w:lang w:val="en-GB"/>
        </w:rPr>
        <w:t xml:space="preserve">“What’s the ‘problem’ represented to be in the specific policy?’ </w:t>
      </w:r>
    </w:p>
    <w:p w14:paraId="61130504" w14:textId="77777777" w:rsidR="005D59B2" w:rsidRPr="005D6BE9" w:rsidRDefault="005D59B2" w:rsidP="005D6BE9">
      <w:pPr>
        <w:numPr>
          <w:ilvl w:val="2"/>
          <w:numId w:val="1"/>
        </w:numPr>
        <w:spacing w:after="0" w:line="360" w:lineRule="auto"/>
        <w:jc w:val="both"/>
        <w:rPr>
          <w:rFonts w:ascii="Arial" w:hAnsi="Arial" w:cs="Arial"/>
          <w:lang w:val="en-GB"/>
        </w:rPr>
      </w:pPr>
      <w:r w:rsidRPr="005D6BE9">
        <w:rPr>
          <w:rFonts w:ascii="Arial" w:hAnsi="Arial" w:cs="Arial"/>
          <w:lang w:val="en-GB"/>
        </w:rPr>
        <w:t xml:space="preserve">What presuppositions or assumptions underlie this representation of the ‘problem’? </w:t>
      </w:r>
    </w:p>
    <w:p w14:paraId="31B45082" w14:textId="77777777" w:rsidR="005D59B2" w:rsidRPr="005D6BE9" w:rsidRDefault="005D59B2" w:rsidP="005D6BE9">
      <w:pPr>
        <w:numPr>
          <w:ilvl w:val="2"/>
          <w:numId w:val="1"/>
        </w:numPr>
        <w:spacing w:after="0" w:line="360" w:lineRule="auto"/>
        <w:jc w:val="both"/>
        <w:rPr>
          <w:rFonts w:ascii="Arial" w:hAnsi="Arial" w:cs="Arial"/>
          <w:lang w:val="en-GB"/>
        </w:rPr>
      </w:pPr>
      <w:r w:rsidRPr="005D6BE9">
        <w:rPr>
          <w:rFonts w:ascii="Arial" w:hAnsi="Arial" w:cs="Arial"/>
          <w:lang w:val="en-GB"/>
        </w:rPr>
        <w:t xml:space="preserve">How has the representation of the ‘problem’ come about? </w:t>
      </w:r>
    </w:p>
    <w:p w14:paraId="6D814DD6" w14:textId="77777777" w:rsidR="005D59B2" w:rsidRPr="005D6BE9" w:rsidRDefault="005D59B2" w:rsidP="005D6BE9">
      <w:pPr>
        <w:numPr>
          <w:ilvl w:val="2"/>
          <w:numId w:val="1"/>
        </w:numPr>
        <w:spacing w:after="0" w:line="360" w:lineRule="auto"/>
        <w:jc w:val="both"/>
        <w:rPr>
          <w:rFonts w:ascii="Arial" w:hAnsi="Arial" w:cs="Arial"/>
          <w:lang w:val="en-GB"/>
        </w:rPr>
      </w:pPr>
      <w:r w:rsidRPr="005D6BE9">
        <w:rPr>
          <w:rFonts w:ascii="Arial" w:hAnsi="Arial" w:cs="Arial"/>
          <w:lang w:val="en-GB"/>
        </w:rPr>
        <w:t xml:space="preserve">What is left unproblematic? Where are the silences? Can the ‘problem’ be thought about differently? </w:t>
      </w:r>
    </w:p>
    <w:p w14:paraId="1493F6F1" w14:textId="77777777" w:rsidR="005D59B2" w:rsidRPr="005D6BE9" w:rsidRDefault="005D59B2" w:rsidP="005D6BE9">
      <w:pPr>
        <w:numPr>
          <w:ilvl w:val="2"/>
          <w:numId w:val="1"/>
        </w:numPr>
        <w:spacing w:after="0" w:line="360" w:lineRule="auto"/>
        <w:jc w:val="both"/>
        <w:rPr>
          <w:rFonts w:ascii="Arial" w:hAnsi="Arial" w:cs="Arial"/>
          <w:lang w:val="en-GB"/>
        </w:rPr>
      </w:pPr>
      <w:r w:rsidRPr="005D6BE9">
        <w:rPr>
          <w:rFonts w:ascii="Arial" w:hAnsi="Arial" w:cs="Arial"/>
          <w:lang w:val="en-GB"/>
        </w:rPr>
        <w:t>What effects are produced by this representation of the ‘problem’?</w:t>
      </w:r>
    </w:p>
    <w:p w14:paraId="7F19A623" w14:textId="77777777" w:rsidR="005D6BE9" w:rsidRDefault="005D59B2" w:rsidP="005D6BE9">
      <w:pPr>
        <w:numPr>
          <w:ilvl w:val="2"/>
          <w:numId w:val="1"/>
        </w:numPr>
        <w:spacing w:after="0" w:line="360" w:lineRule="auto"/>
        <w:jc w:val="both"/>
        <w:rPr>
          <w:rFonts w:ascii="Arial" w:hAnsi="Arial" w:cs="Arial"/>
          <w:lang w:val="en-GB"/>
        </w:rPr>
      </w:pPr>
      <w:r w:rsidRPr="005D6BE9">
        <w:rPr>
          <w:rFonts w:ascii="Arial" w:hAnsi="Arial" w:cs="Arial"/>
          <w:lang w:val="en-GB"/>
        </w:rPr>
        <w:t xml:space="preserve">How/Where has this representation of the problem been produced, disseminated and defended? How could it be questioned, disrupted and replaced?” </w:t>
      </w:r>
    </w:p>
    <w:p w14:paraId="0B753A1F" w14:textId="11081BA8" w:rsidR="005D59B2" w:rsidRDefault="005D59B2" w:rsidP="005D6BE9">
      <w:pPr>
        <w:spacing w:after="0" w:line="360" w:lineRule="auto"/>
        <w:ind w:left="2160"/>
        <w:jc w:val="right"/>
        <w:rPr>
          <w:rFonts w:ascii="Arial" w:hAnsi="Arial" w:cs="Arial"/>
          <w:lang w:val="en-GB"/>
        </w:rPr>
      </w:pPr>
      <w:r w:rsidRPr="005D6BE9">
        <w:rPr>
          <w:rFonts w:ascii="Arial" w:hAnsi="Arial" w:cs="Arial"/>
          <w:lang w:val="en-GB"/>
        </w:rPr>
        <w:t xml:space="preserve">(Bacchi, 2009, xii) </w:t>
      </w:r>
    </w:p>
    <w:p w14:paraId="66777D20" w14:textId="77777777" w:rsidR="005D6BE9" w:rsidRPr="005D6BE9" w:rsidRDefault="005D6BE9" w:rsidP="005D6BE9">
      <w:pPr>
        <w:spacing w:after="0" w:line="360" w:lineRule="auto"/>
        <w:ind w:left="2160"/>
        <w:jc w:val="both"/>
        <w:rPr>
          <w:rFonts w:ascii="Arial" w:hAnsi="Arial" w:cs="Arial"/>
          <w:lang w:val="en-GB"/>
        </w:rPr>
      </w:pPr>
    </w:p>
    <w:p w14:paraId="527CDC30" w14:textId="16079011" w:rsidR="005D59B2" w:rsidRDefault="005D59B2" w:rsidP="005D6BE9">
      <w:pPr>
        <w:spacing w:after="0" w:line="360" w:lineRule="auto"/>
        <w:ind w:firstLine="720"/>
        <w:jc w:val="both"/>
        <w:rPr>
          <w:rFonts w:ascii="Arial" w:hAnsi="Arial" w:cs="Arial"/>
          <w:lang w:val="en-GB"/>
        </w:rPr>
      </w:pPr>
      <w:r w:rsidRPr="005D6BE9">
        <w:rPr>
          <w:rFonts w:ascii="Arial" w:hAnsi="Arial" w:cs="Arial"/>
          <w:lang w:val="en-GB"/>
        </w:rPr>
        <w:t xml:space="preserve">As highlighted by Bacchi </w:t>
      </w:r>
      <w:r w:rsidRPr="005D6BE9">
        <w:rPr>
          <w:rFonts w:ascii="Arial" w:hAnsi="Arial" w:cs="Arial"/>
          <w:noProof/>
          <w:lang w:val="en-GB"/>
        </w:rPr>
        <w:t>(2009, ix)</w:t>
      </w:r>
      <w:r w:rsidRPr="005D6BE9">
        <w:rPr>
          <w:rFonts w:ascii="Arial" w:hAnsi="Arial" w:cs="Arial"/>
          <w:lang w:val="en-GB"/>
        </w:rPr>
        <w:t xml:space="preserve">, the understanding that policies ‘fix’ problems are ‘implicit in the whole notion of policy’ as ‘by their nature policies make changes, implying something needs to change’. Therefore, </w:t>
      </w:r>
      <w:r w:rsidRPr="005D6BE9">
        <w:rPr>
          <w:rFonts w:ascii="Arial" w:hAnsi="Arial" w:cs="Arial"/>
          <w:iCs/>
          <w:lang w:val="en-GB"/>
        </w:rPr>
        <w:t>the WPR</w:t>
      </w:r>
      <w:r w:rsidRPr="005D6BE9">
        <w:rPr>
          <w:rFonts w:ascii="Arial" w:hAnsi="Arial" w:cs="Arial"/>
          <w:lang w:val="en-GB"/>
        </w:rPr>
        <w:t xml:space="preserve"> approach first invites the analyst to make the problems embedded within policy explicit by working backwards from the policy proposals. </w:t>
      </w:r>
      <w:r w:rsidR="008B7096" w:rsidRPr="005D6BE9">
        <w:rPr>
          <w:rFonts w:ascii="Arial" w:hAnsi="Arial" w:cs="Arial"/>
          <w:lang w:val="en-GB"/>
        </w:rPr>
        <w:t xml:space="preserve">This is followed by question </w:t>
      </w:r>
      <w:r w:rsidR="00DE4CE7" w:rsidRPr="005D6BE9">
        <w:rPr>
          <w:rFonts w:ascii="Arial" w:hAnsi="Arial" w:cs="Arial"/>
          <w:lang w:val="en-GB"/>
        </w:rPr>
        <w:t xml:space="preserve">two </w:t>
      </w:r>
      <w:r w:rsidRPr="005D6BE9">
        <w:rPr>
          <w:rFonts w:ascii="Arial" w:hAnsi="Arial" w:cs="Arial"/>
          <w:lang w:val="en-GB"/>
        </w:rPr>
        <w:t>of the WPR approach</w:t>
      </w:r>
      <w:r w:rsidR="008B7096" w:rsidRPr="005D6BE9">
        <w:rPr>
          <w:rFonts w:ascii="Arial" w:hAnsi="Arial" w:cs="Arial"/>
          <w:lang w:val="en-GB"/>
        </w:rPr>
        <w:t xml:space="preserve"> which</w:t>
      </w:r>
      <w:r w:rsidRPr="005D6BE9">
        <w:rPr>
          <w:rFonts w:ascii="Arial" w:hAnsi="Arial" w:cs="Arial"/>
          <w:lang w:val="en-GB"/>
        </w:rPr>
        <w:t xml:space="preserve"> requires an interrogation of the ‘background knowledge’ and ‘deep-seated cultural values’ to ‘uncover the thought that lies behind specific problem representations’ (Bacchi, 2009). </w:t>
      </w:r>
    </w:p>
    <w:p w14:paraId="3B2E9FB0" w14:textId="77777777" w:rsidR="005D6BE9" w:rsidRPr="005D6BE9" w:rsidRDefault="005D6BE9" w:rsidP="005D6BE9">
      <w:pPr>
        <w:spacing w:after="0" w:line="360" w:lineRule="auto"/>
        <w:ind w:firstLine="720"/>
        <w:jc w:val="both"/>
        <w:rPr>
          <w:rFonts w:ascii="Arial" w:hAnsi="Arial" w:cs="Arial"/>
          <w:lang w:val="en-GB"/>
        </w:rPr>
      </w:pPr>
    </w:p>
    <w:p w14:paraId="1B17FCC0" w14:textId="06B0EFAB" w:rsidR="005D59B2" w:rsidRDefault="005D59B2" w:rsidP="005D6BE9">
      <w:pPr>
        <w:spacing w:after="0" w:line="360" w:lineRule="auto"/>
        <w:ind w:firstLine="720"/>
        <w:jc w:val="both"/>
        <w:rPr>
          <w:rFonts w:ascii="Arial" w:hAnsi="Arial" w:cs="Arial"/>
          <w:lang w:val="en-GB"/>
        </w:rPr>
      </w:pPr>
      <w:r w:rsidRPr="005D6BE9">
        <w:rPr>
          <w:rFonts w:ascii="Arial" w:hAnsi="Arial" w:cs="Arial"/>
          <w:lang w:val="en-GB"/>
        </w:rPr>
        <w:t xml:space="preserve">The analysis brought to light the repetition of binaries, key concepts and categories which in turn revealed the presence of specific discourses. For example, the repetition of the category </w:t>
      </w:r>
      <w:r w:rsidR="00DF7C18" w:rsidRPr="005D6BE9">
        <w:rPr>
          <w:rFonts w:ascii="Arial" w:hAnsi="Arial" w:cs="Arial"/>
          <w:lang w:val="en-GB"/>
        </w:rPr>
        <w:t>‘</w:t>
      </w:r>
      <w:r w:rsidRPr="005D6BE9">
        <w:rPr>
          <w:rFonts w:ascii="Arial" w:hAnsi="Arial" w:cs="Arial"/>
          <w:lang w:val="en-GB"/>
        </w:rPr>
        <w:t xml:space="preserve">migrant sex worker’ highlight that sex work and migration discourses </w:t>
      </w:r>
      <w:r w:rsidR="00B85F14" w:rsidRPr="005D6BE9">
        <w:rPr>
          <w:rFonts w:ascii="Arial" w:hAnsi="Arial" w:cs="Arial"/>
          <w:lang w:val="en-GB"/>
        </w:rPr>
        <w:t xml:space="preserve">may be significant discourses </w:t>
      </w:r>
      <w:r w:rsidRPr="005D6BE9">
        <w:rPr>
          <w:rFonts w:ascii="Arial" w:hAnsi="Arial" w:cs="Arial"/>
          <w:lang w:val="en-GB"/>
        </w:rPr>
        <w:t xml:space="preserve">within the selected texts. Within a </w:t>
      </w:r>
      <w:r w:rsidRPr="005D6BE9">
        <w:rPr>
          <w:rFonts w:ascii="Arial" w:hAnsi="Arial" w:cs="Arial"/>
          <w:iCs/>
          <w:lang w:val="en-GB"/>
        </w:rPr>
        <w:t>WPR</w:t>
      </w:r>
      <w:r w:rsidRPr="005D6BE9">
        <w:rPr>
          <w:rFonts w:ascii="Arial" w:hAnsi="Arial" w:cs="Arial"/>
          <w:lang w:val="en-GB"/>
        </w:rPr>
        <w:t xml:space="preserve"> approach, people categories are viewed ‘as effects of policies rather than as necessary and natural ways of grouping people’ (Bacchi &amp; Goodwin, 2016, 6). Similar to deconstructing problem</w:t>
      </w:r>
      <w:r w:rsidR="008B7096" w:rsidRPr="005D6BE9">
        <w:rPr>
          <w:rFonts w:ascii="Arial" w:hAnsi="Arial" w:cs="Arial"/>
          <w:lang w:val="en-GB"/>
        </w:rPr>
        <w:t>s</w:t>
      </w:r>
      <w:r w:rsidRPr="005D6BE9">
        <w:rPr>
          <w:rFonts w:ascii="Arial" w:hAnsi="Arial" w:cs="Arial"/>
          <w:lang w:val="en-GB"/>
        </w:rPr>
        <w:t>, reflecting on the deep-seated assumptions and discourses that construct people categories makes it possible to view categories as ‘open to challenge and change’ (Bacchi &amp; Goodwin, 2016, 4).</w:t>
      </w:r>
    </w:p>
    <w:p w14:paraId="4CE72699" w14:textId="77777777" w:rsidR="005D6BE9" w:rsidRPr="005D6BE9" w:rsidRDefault="005D6BE9" w:rsidP="005D6BE9">
      <w:pPr>
        <w:spacing w:after="0" w:line="360" w:lineRule="auto"/>
        <w:ind w:firstLine="720"/>
        <w:jc w:val="both"/>
        <w:rPr>
          <w:rFonts w:ascii="Arial" w:hAnsi="Arial" w:cs="Arial"/>
          <w:lang w:val="en-GB"/>
        </w:rPr>
      </w:pPr>
    </w:p>
    <w:p w14:paraId="02480707" w14:textId="5AC08D41" w:rsidR="005D59B2" w:rsidRDefault="005D59B2" w:rsidP="005D6BE9">
      <w:pPr>
        <w:spacing w:after="0" w:line="360" w:lineRule="auto"/>
        <w:ind w:firstLine="720"/>
        <w:jc w:val="both"/>
        <w:rPr>
          <w:rFonts w:ascii="Arial" w:hAnsi="Arial" w:cs="Arial"/>
          <w:lang w:val="en-GB"/>
        </w:rPr>
      </w:pPr>
      <w:r w:rsidRPr="005D6BE9">
        <w:rPr>
          <w:rFonts w:ascii="Arial" w:hAnsi="Arial" w:cs="Arial"/>
          <w:lang w:val="en-GB"/>
        </w:rPr>
        <w:t>By drawing attention to the binaries, key concepts and categories within the selected texts, it was also possible to detect the use of ‘dividing practices’</w:t>
      </w:r>
      <w:r w:rsidR="00400ECF" w:rsidRPr="005D6BE9">
        <w:rPr>
          <w:rFonts w:ascii="Arial" w:hAnsi="Arial" w:cs="Arial"/>
          <w:lang w:val="en-GB"/>
        </w:rPr>
        <w:t xml:space="preserve"> </w:t>
      </w:r>
      <w:r w:rsidR="00895557" w:rsidRPr="005D6BE9">
        <w:rPr>
          <w:rFonts w:ascii="Arial" w:hAnsi="Arial" w:cs="Arial"/>
          <w:lang w:val="en-GB"/>
        </w:rPr>
        <w:t xml:space="preserve">(Bacchi &amp; Goodwin, 2016, </w:t>
      </w:r>
      <w:r w:rsidR="00895557" w:rsidRPr="005D6BE9">
        <w:rPr>
          <w:rFonts w:ascii="Arial" w:hAnsi="Arial" w:cs="Arial"/>
          <w:lang w:val="en-GB"/>
        </w:rPr>
        <w:lastRenderedPageBreak/>
        <w:t>51)</w:t>
      </w:r>
      <w:r w:rsidRPr="005D6BE9">
        <w:rPr>
          <w:rFonts w:ascii="Arial" w:hAnsi="Arial" w:cs="Arial"/>
          <w:lang w:val="en-GB"/>
        </w:rPr>
        <w:t>. ‘Dividing practices’ construct differences and hierarchies within and between groups with one group presented as the ‘desired group’</w:t>
      </w:r>
      <w:r w:rsidR="00400ECF" w:rsidRPr="005D6BE9">
        <w:rPr>
          <w:rFonts w:ascii="Arial" w:hAnsi="Arial" w:cs="Arial"/>
          <w:lang w:val="en-GB"/>
        </w:rPr>
        <w:t xml:space="preserve"> </w:t>
      </w:r>
      <w:r w:rsidR="00895557" w:rsidRPr="005D6BE9">
        <w:rPr>
          <w:rFonts w:ascii="Arial" w:hAnsi="Arial" w:cs="Arial"/>
          <w:lang w:val="en-GB"/>
        </w:rPr>
        <w:t>(Bacchi &amp; Goodwin, 2016, 51</w:t>
      </w:r>
      <w:r w:rsidRPr="005D6BE9">
        <w:rPr>
          <w:rFonts w:ascii="Arial" w:hAnsi="Arial" w:cs="Arial"/>
          <w:lang w:val="en-GB"/>
        </w:rPr>
        <w:t xml:space="preserve">). Divisions govern individuals by promoting the belief that failure to display the characteristics of the ‘desired group’ is due to the failure of the individual in behaving ‘correctly’ or taking ‘appropriate’ action (Bacchi &amp; Goodwin, 2016, 51-52). </w:t>
      </w:r>
    </w:p>
    <w:p w14:paraId="27F7D001" w14:textId="77777777" w:rsidR="005D6BE9" w:rsidRPr="005D6BE9" w:rsidRDefault="005D6BE9" w:rsidP="005D6BE9">
      <w:pPr>
        <w:spacing w:after="0" w:line="360" w:lineRule="auto"/>
        <w:ind w:firstLine="720"/>
        <w:jc w:val="both"/>
        <w:rPr>
          <w:rFonts w:ascii="Arial" w:hAnsi="Arial" w:cs="Arial"/>
          <w:lang w:val="en-GB"/>
        </w:rPr>
      </w:pPr>
    </w:p>
    <w:p w14:paraId="204250A4" w14:textId="68F38496" w:rsidR="005D59B2" w:rsidRDefault="005D59B2" w:rsidP="005D6BE9">
      <w:pPr>
        <w:spacing w:after="0" w:line="360" w:lineRule="auto"/>
        <w:ind w:firstLine="720"/>
        <w:jc w:val="both"/>
        <w:rPr>
          <w:rFonts w:ascii="Arial" w:hAnsi="Arial" w:cs="Arial"/>
          <w:lang w:val="en-GB"/>
        </w:rPr>
      </w:pPr>
      <w:r w:rsidRPr="005D6BE9">
        <w:rPr>
          <w:rFonts w:ascii="Arial" w:hAnsi="Arial" w:cs="Arial"/>
          <w:lang w:val="en-GB"/>
        </w:rPr>
        <w:t xml:space="preserve">Question </w:t>
      </w:r>
      <w:r w:rsidR="00034B71" w:rsidRPr="005D6BE9">
        <w:rPr>
          <w:rFonts w:ascii="Arial" w:hAnsi="Arial" w:cs="Arial"/>
          <w:lang w:val="en-GB"/>
        </w:rPr>
        <w:t>three</w:t>
      </w:r>
      <w:r w:rsidRPr="005D6BE9">
        <w:rPr>
          <w:rFonts w:ascii="Arial" w:hAnsi="Arial" w:cs="Arial"/>
          <w:lang w:val="en-GB"/>
        </w:rPr>
        <w:t xml:space="preserve"> involves tracing ‘genealogies’ or ‘the specific developments and decisions’ that contributed to the representation of a problem identified in a policy proposal (Bacchi &amp; Goodwin, 2016). Borrowing from the work of Foucault, tracing the genealogy of a problem involves identifying competing representations that existed over time and place to ‘de-inevitablise’ the present and reveal ‘that things could have developed quite differently’ (Bacchi, 2009, 11; Bacchi &amp; Goodwin, 2016, 46). Working backwards, this paper traces the history of human</w:t>
      </w:r>
      <w:r w:rsidR="00D346CA" w:rsidRPr="005D6BE9">
        <w:rPr>
          <w:rFonts w:ascii="Arial" w:hAnsi="Arial" w:cs="Arial"/>
          <w:lang w:val="en-GB"/>
        </w:rPr>
        <w:t xml:space="preserve"> trafficking </w:t>
      </w:r>
      <w:r w:rsidRPr="005D6BE9">
        <w:rPr>
          <w:rFonts w:ascii="Arial" w:hAnsi="Arial" w:cs="Arial"/>
          <w:lang w:val="en-GB"/>
        </w:rPr>
        <w:t>activities in Australia, drawing out the competing discourses operating at major historical points.</w:t>
      </w:r>
    </w:p>
    <w:p w14:paraId="6132609B" w14:textId="77777777" w:rsidR="005D6BE9" w:rsidRPr="005D6BE9" w:rsidRDefault="005D6BE9" w:rsidP="005D6BE9">
      <w:pPr>
        <w:spacing w:after="0" w:line="360" w:lineRule="auto"/>
        <w:ind w:firstLine="720"/>
        <w:jc w:val="both"/>
        <w:rPr>
          <w:rFonts w:ascii="Arial" w:hAnsi="Arial" w:cs="Arial"/>
          <w:lang w:val="en-GB"/>
        </w:rPr>
      </w:pPr>
    </w:p>
    <w:p w14:paraId="2B1C66CB" w14:textId="64B10CA6" w:rsidR="005D59B2" w:rsidRDefault="005D59B2" w:rsidP="005D6BE9">
      <w:pPr>
        <w:spacing w:after="0" w:line="360" w:lineRule="auto"/>
        <w:ind w:firstLine="720"/>
        <w:jc w:val="both"/>
        <w:rPr>
          <w:rFonts w:ascii="Arial" w:hAnsi="Arial" w:cs="Arial"/>
          <w:lang w:val="en-GB"/>
        </w:rPr>
      </w:pPr>
      <w:r w:rsidRPr="005D6BE9">
        <w:rPr>
          <w:rFonts w:ascii="Arial" w:hAnsi="Arial" w:cs="Arial"/>
          <w:lang w:val="en-GB"/>
        </w:rPr>
        <w:t xml:space="preserve">Question </w:t>
      </w:r>
      <w:r w:rsidR="007448F3" w:rsidRPr="005D6BE9">
        <w:rPr>
          <w:rFonts w:ascii="Arial" w:hAnsi="Arial" w:cs="Arial"/>
          <w:lang w:val="en-GB"/>
        </w:rPr>
        <w:t>four</w:t>
      </w:r>
      <w:r w:rsidRPr="005D6BE9">
        <w:rPr>
          <w:rFonts w:ascii="Arial" w:hAnsi="Arial" w:cs="Arial"/>
          <w:lang w:val="en-GB"/>
        </w:rPr>
        <w:t xml:space="preserve"> of </w:t>
      </w:r>
      <w:r w:rsidRPr="005D6BE9">
        <w:rPr>
          <w:rFonts w:ascii="Arial" w:hAnsi="Arial" w:cs="Arial"/>
          <w:iCs/>
          <w:lang w:val="en-GB"/>
        </w:rPr>
        <w:t>the WPR</w:t>
      </w:r>
      <w:r w:rsidRPr="005D6BE9">
        <w:rPr>
          <w:rFonts w:ascii="Arial" w:hAnsi="Arial" w:cs="Arial"/>
          <w:lang w:val="en-GB"/>
        </w:rPr>
        <w:t xml:space="preserve"> approach requires the analyst to observe the limitations of the discourses and underlying assumptions within the representation of a problem. In doing so, it is possible to draw out silences which assists in the task of understanding how the representation of a problem could be viewed differently. </w:t>
      </w:r>
    </w:p>
    <w:p w14:paraId="773F1D2F" w14:textId="77777777" w:rsidR="005D6BE9" w:rsidRPr="005D6BE9" w:rsidRDefault="005D6BE9" w:rsidP="005D6BE9">
      <w:pPr>
        <w:spacing w:after="0" w:line="360" w:lineRule="auto"/>
        <w:ind w:firstLine="720"/>
        <w:jc w:val="both"/>
        <w:rPr>
          <w:rFonts w:ascii="Arial" w:hAnsi="Arial" w:cs="Arial"/>
          <w:lang w:val="en-GB"/>
        </w:rPr>
      </w:pPr>
    </w:p>
    <w:p w14:paraId="7BA04199" w14:textId="4B4F8EF5" w:rsidR="005D59B2" w:rsidRDefault="005D59B2" w:rsidP="005D6BE9">
      <w:pPr>
        <w:spacing w:after="0" w:line="360" w:lineRule="auto"/>
        <w:ind w:firstLine="720"/>
        <w:jc w:val="both"/>
        <w:rPr>
          <w:rFonts w:ascii="Arial" w:hAnsi="Arial" w:cs="Arial"/>
          <w:lang w:val="en-GB"/>
        </w:rPr>
      </w:pPr>
      <w:r w:rsidRPr="005D6BE9">
        <w:rPr>
          <w:rFonts w:ascii="Arial" w:hAnsi="Arial" w:cs="Arial"/>
          <w:lang w:val="en-GB"/>
        </w:rPr>
        <w:t xml:space="preserve">Turning to </w:t>
      </w:r>
      <w:r w:rsidR="00AE184E" w:rsidRPr="005D6BE9">
        <w:rPr>
          <w:rFonts w:ascii="Arial" w:hAnsi="Arial" w:cs="Arial"/>
          <w:lang w:val="en-GB"/>
        </w:rPr>
        <w:t>q</w:t>
      </w:r>
      <w:r w:rsidRPr="005D6BE9">
        <w:rPr>
          <w:rFonts w:ascii="Arial" w:hAnsi="Arial" w:cs="Arial"/>
          <w:lang w:val="en-GB"/>
        </w:rPr>
        <w:t xml:space="preserve">uestion </w:t>
      </w:r>
      <w:r w:rsidR="006F6B46" w:rsidRPr="005D6BE9">
        <w:rPr>
          <w:rFonts w:ascii="Arial" w:hAnsi="Arial" w:cs="Arial"/>
          <w:lang w:val="en-GB"/>
        </w:rPr>
        <w:t>five</w:t>
      </w:r>
      <w:r w:rsidRPr="005D6BE9">
        <w:rPr>
          <w:rFonts w:ascii="Arial" w:hAnsi="Arial" w:cs="Arial"/>
          <w:lang w:val="en-GB"/>
        </w:rPr>
        <w:t xml:space="preserve">, the analyst is required to investigate how the construction of a problem and accompanying binaries, categories and key concepts function ‘to benefit some and harm others’ (Bacchi, 2009, 15). Question </w:t>
      </w:r>
      <w:r w:rsidR="00AE184E" w:rsidRPr="005D6BE9">
        <w:rPr>
          <w:rFonts w:ascii="Arial" w:hAnsi="Arial" w:cs="Arial"/>
          <w:lang w:val="en-GB"/>
        </w:rPr>
        <w:t>five</w:t>
      </w:r>
      <w:r w:rsidRPr="005D6BE9">
        <w:rPr>
          <w:rFonts w:ascii="Arial" w:hAnsi="Arial" w:cs="Arial"/>
          <w:lang w:val="en-GB"/>
        </w:rPr>
        <w:t xml:space="preserve"> invites the analyst to consider how the representation of a problem can influence what we can think about a topic, the way people see themselves and others</w:t>
      </w:r>
      <w:r w:rsidR="00AE184E" w:rsidRPr="005D6BE9">
        <w:rPr>
          <w:rFonts w:ascii="Arial" w:hAnsi="Arial" w:cs="Arial"/>
          <w:lang w:val="en-GB"/>
        </w:rPr>
        <w:t xml:space="preserve">, </w:t>
      </w:r>
      <w:r w:rsidRPr="005D6BE9">
        <w:rPr>
          <w:rFonts w:ascii="Arial" w:hAnsi="Arial" w:cs="Arial"/>
          <w:lang w:val="en-GB"/>
        </w:rPr>
        <w:t xml:space="preserve">and what resources are available to individuals. </w:t>
      </w:r>
    </w:p>
    <w:p w14:paraId="462C22A6" w14:textId="77777777" w:rsidR="005D6BE9" w:rsidRPr="005D6BE9" w:rsidRDefault="005D6BE9" w:rsidP="005D6BE9">
      <w:pPr>
        <w:spacing w:after="0" w:line="360" w:lineRule="auto"/>
        <w:ind w:firstLine="720"/>
        <w:jc w:val="both"/>
        <w:rPr>
          <w:rFonts w:ascii="Arial" w:hAnsi="Arial" w:cs="Arial"/>
          <w:lang w:val="en-GB"/>
        </w:rPr>
      </w:pPr>
    </w:p>
    <w:p w14:paraId="4E019234" w14:textId="263A0562" w:rsidR="005D59B2" w:rsidRDefault="005D59B2" w:rsidP="005D6BE9">
      <w:pPr>
        <w:spacing w:after="0" w:line="360" w:lineRule="auto"/>
        <w:ind w:firstLine="720"/>
        <w:jc w:val="both"/>
        <w:rPr>
          <w:rFonts w:ascii="Arial" w:hAnsi="Arial" w:cs="Arial"/>
          <w:lang w:val="en-GB"/>
        </w:rPr>
      </w:pPr>
      <w:r w:rsidRPr="005D6BE9">
        <w:rPr>
          <w:rFonts w:ascii="Arial" w:hAnsi="Arial" w:cs="Arial"/>
          <w:lang w:val="en-GB"/>
        </w:rPr>
        <w:t xml:space="preserve">Question </w:t>
      </w:r>
      <w:r w:rsidR="00BB1701" w:rsidRPr="005D6BE9">
        <w:rPr>
          <w:rFonts w:ascii="Arial" w:hAnsi="Arial" w:cs="Arial"/>
          <w:lang w:val="en-GB"/>
        </w:rPr>
        <w:t>six</w:t>
      </w:r>
      <w:r w:rsidRPr="005D6BE9">
        <w:rPr>
          <w:rFonts w:ascii="Arial" w:hAnsi="Arial" w:cs="Arial"/>
          <w:lang w:val="en-GB"/>
        </w:rPr>
        <w:t xml:space="preserve"> of </w:t>
      </w:r>
      <w:r w:rsidRPr="005D6BE9">
        <w:rPr>
          <w:rFonts w:ascii="Arial" w:hAnsi="Arial" w:cs="Arial"/>
          <w:iCs/>
          <w:lang w:val="en-GB"/>
        </w:rPr>
        <w:t>the WPR</w:t>
      </w:r>
      <w:r w:rsidRPr="005D6BE9">
        <w:rPr>
          <w:rFonts w:ascii="Arial" w:hAnsi="Arial" w:cs="Arial"/>
          <w:lang w:val="en-GB"/>
        </w:rPr>
        <w:t xml:space="preserve"> approach invites the analyst to examine where the problem, as constructed in the chosen texts, is reproduced elsewhere to ‘reach their target audience and achieve legitimacy’ (Bacchi &amp; Goodwin, 2016, 19). While each </w:t>
      </w:r>
      <w:r w:rsidRPr="005D6BE9">
        <w:rPr>
          <w:rFonts w:ascii="Arial" w:hAnsi="Arial" w:cs="Arial"/>
          <w:iCs/>
          <w:lang w:val="en-GB"/>
        </w:rPr>
        <w:t>WPR</w:t>
      </w:r>
      <w:r w:rsidRPr="005D6BE9">
        <w:rPr>
          <w:rFonts w:ascii="Arial" w:hAnsi="Arial" w:cs="Arial"/>
          <w:lang w:val="en-GB"/>
        </w:rPr>
        <w:t xml:space="preserve"> question was applied to the selected sources, this paper will be focusing and reporting on the findings drawn from questions 1,2 and 3. </w:t>
      </w:r>
    </w:p>
    <w:p w14:paraId="1AED5A98" w14:textId="77777777" w:rsidR="005D6BE9" w:rsidRPr="005D6BE9" w:rsidRDefault="005D6BE9" w:rsidP="005D6BE9">
      <w:pPr>
        <w:spacing w:after="0" w:line="360" w:lineRule="auto"/>
        <w:ind w:firstLine="720"/>
        <w:jc w:val="both"/>
        <w:rPr>
          <w:rFonts w:ascii="Arial" w:hAnsi="Arial" w:cs="Arial"/>
          <w:lang w:val="en-GB"/>
        </w:rPr>
      </w:pPr>
    </w:p>
    <w:p w14:paraId="4C6E638E" w14:textId="0A255F14" w:rsidR="00EE363B" w:rsidRPr="004F3871" w:rsidRDefault="005D59B2" w:rsidP="004F3871">
      <w:pPr>
        <w:spacing w:after="0" w:line="360" w:lineRule="auto"/>
        <w:ind w:firstLine="720"/>
        <w:jc w:val="both"/>
        <w:rPr>
          <w:rFonts w:ascii="Arial" w:hAnsi="Arial" w:cs="Arial"/>
          <w:iCs/>
          <w:lang w:val="en-GB"/>
        </w:rPr>
      </w:pPr>
      <w:r w:rsidRPr="005D6BE9">
        <w:rPr>
          <w:rFonts w:ascii="Arial" w:hAnsi="Arial" w:cs="Arial"/>
          <w:lang w:val="en-GB"/>
        </w:rPr>
        <w:t xml:space="preserve">This </w:t>
      </w:r>
      <w:r w:rsidR="00E92FC0" w:rsidRPr="005D6BE9">
        <w:rPr>
          <w:rFonts w:ascii="Arial" w:hAnsi="Arial" w:cs="Arial"/>
          <w:lang w:val="en-GB"/>
        </w:rPr>
        <w:t>section</w:t>
      </w:r>
      <w:r w:rsidRPr="005D6BE9">
        <w:rPr>
          <w:rFonts w:ascii="Arial" w:hAnsi="Arial" w:cs="Arial"/>
          <w:lang w:val="en-GB"/>
        </w:rPr>
        <w:t xml:space="preserve"> highlighted WPR methodology</w:t>
      </w:r>
      <w:r w:rsidR="002152B6" w:rsidRPr="005D6BE9">
        <w:rPr>
          <w:rFonts w:ascii="Arial" w:hAnsi="Arial" w:cs="Arial"/>
          <w:lang w:val="en-GB"/>
        </w:rPr>
        <w:t>’s</w:t>
      </w:r>
      <w:r w:rsidRPr="005D6BE9">
        <w:rPr>
          <w:rFonts w:ascii="Arial" w:hAnsi="Arial" w:cs="Arial"/>
          <w:lang w:val="en-GB"/>
        </w:rPr>
        <w:t xml:space="preserve"> post-structuralist approach to policy analysis whereby ‘problems’, </w:t>
      </w:r>
      <w:r w:rsidRPr="005D6BE9">
        <w:rPr>
          <w:rFonts w:ascii="Arial" w:hAnsi="Arial" w:cs="Arial"/>
          <w:iCs/>
          <w:lang w:val="en-GB"/>
        </w:rPr>
        <w:t xml:space="preserve">‘solutions’ and ‘subjects’ are understood to be shaped by their ‘ongoing interactions with discourses’ (Bacchi &amp; Goodwin, 2016, 4). The next </w:t>
      </w:r>
      <w:r w:rsidR="00411456" w:rsidRPr="005D6BE9">
        <w:rPr>
          <w:rFonts w:ascii="Arial" w:hAnsi="Arial" w:cs="Arial"/>
          <w:iCs/>
          <w:lang w:val="en-GB"/>
        </w:rPr>
        <w:t>section</w:t>
      </w:r>
      <w:r w:rsidRPr="005D6BE9">
        <w:rPr>
          <w:rFonts w:ascii="Arial" w:hAnsi="Arial" w:cs="Arial"/>
          <w:iCs/>
          <w:lang w:val="en-GB"/>
        </w:rPr>
        <w:t xml:space="preserve"> will discuss the outcome of applying </w:t>
      </w:r>
      <w:r w:rsidR="00F9319D" w:rsidRPr="005D6BE9">
        <w:rPr>
          <w:rFonts w:ascii="Arial" w:hAnsi="Arial" w:cs="Arial"/>
          <w:iCs/>
          <w:lang w:val="en-GB"/>
        </w:rPr>
        <w:t xml:space="preserve">these </w:t>
      </w:r>
      <w:r w:rsidRPr="005D6BE9">
        <w:rPr>
          <w:rFonts w:ascii="Arial" w:hAnsi="Arial" w:cs="Arial"/>
          <w:iCs/>
          <w:lang w:val="en-GB"/>
        </w:rPr>
        <w:t xml:space="preserve">questions to the chosen texts.  </w:t>
      </w:r>
    </w:p>
    <w:p w14:paraId="76E67B71" w14:textId="77777777" w:rsidR="00AB7C4A" w:rsidRPr="005D6BE9" w:rsidRDefault="001A1C55" w:rsidP="005D6BE9">
      <w:pPr>
        <w:spacing w:after="0" w:line="360" w:lineRule="auto"/>
        <w:jc w:val="both"/>
        <w:rPr>
          <w:rFonts w:ascii="Arial" w:hAnsi="Arial" w:cs="Arial"/>
          <w:b/>
          <w:bCs/>
          <w:i/>
          <w:iCs/>
          <w:lang w:val="en-GB"/>
        </w:rPr>
      </w:pPr>
      <w:r w:rsidRPr="005D6BE9">
        <w:rPr>
          <w:rFonts w:ascii="Arial" w:hAnsi="Arial" w:cs="Arial"/>
          <w:b/>
          <w:bCs/>
          <w:i/>
          <w:iCs/>
          <w:lang w:val="en-GB"/>
        </w:rPr>
        <w:lastRenderedPageBreak/>
        <w:t>Results</w:t>
      </w:r>
    </w:p>
    <w:p w14:paraId="6280748A" w14:textId="6C0E2D23" w:rsidR="001A1C55" w:rsidRPr="005D6BE9" w:rsidRDefault="001A1C55" w:rsidP="005D6BE9">
      <w:pPr>
        <w:spacing w:after="0" w:line="360" w:lineRule="auto"/>
        <w:jc w:val="both"/>
        <w:rPr>
          <w:rFonts w:ascii="Arial" w:hAnsi="Arial" w:cs="Arial"/>
          <w:b/>
          <w:bCs/>
          <w:i/>
          <w:iCs/>
          <w:lang w:val="en-GB"/>
        </w:rPr>
      </w:pPr>
      <w:r w:rsidRPr="005D6BE9">
        <w:rPr>
          <w:rFonts w:ascii="Arial" w:hAnsi="Arial" w:cs="Arial"/>
          <w:b/>
          <w:bCs/>
          <w:i/>
          <w:iCs/>
          <w:lang w:val="en-GB"/>
        </w:rPr>
        <w:t xml:space="preserve"> </w:t>
      </w:r>
    </w:p>
    <w:p w14:paraId="7503C957" w14:textId="1EB93277" w:rsidR="001A1C55" w:rsidRDefault="001A1C55" w:rsidP="005D6BE9">
      <w:pPr>
        <w:spacing w:after="0" w:line="360" w:lineRule="auto"/>
        <w:jc w:val="both"/>
        <w:rPr>
          <w:rFonts w:ascii="Arial" w:hAnsi="Arial" w:cs="Arial"/>
          <w:i/>
          <w:iCs/>
          <w:lang w:val="en-GB"/>
        </w:rPr>
      </w:pPr>
      <w:r w:rsidRPr="005D6BE9">
        <w:rPr>
          <w:rFonts w:ascii="Arial" w:hAnsi="Arial" w:cs="Arial"/>
          <w:i/>
          <w:iCs/>
          <w:lang w:val="en-GB"/>
        </w:rPr>
        <w:t>What is the ‘</w:t>
      </w:r>
      <w:r w:rsidR="00EC0918" w:rsidRPr="005D6BE9">
        <w:rPr>
          <w:rFonts w:ascii="Arial" w:hAnsi="Arial" w:cs="Arial"/>
          <w:i/>
          <w:iCs/>
          <w:lang w:val="en-GB"/>
        </w:rPr>
        <w:t>P</w:t>
      </w:r>
      <w:r w:rsidRPr="005D6BE9">
        <w:rPr>
          <w:rFonts w:ascii="Arial" w:hAnsi="Arial" w:cs="Arial"/>
          <w:i/>
          <w:iCs/>
          <w:lang w:val="en-GB"/>
        </w:rPr>
        <w:t xml:space="preserve">roblem’ </w:t>
      </w:r>
      <w:r w:rsidR="00EC0918" w:rsidRPr="005D6BE9">
        <w:rPr>
          <w:rFonts w:ascii="Arial" w:hAnsi="Arial" w:cs="Arial"/>
          <w:i/>
          <w:iCs/>
          <w:lang w:val="en-GB"/>
        </w:rPr>
        <w:t>R</w:t>
      </w:r>
      <w:r w:rsidRPr="005D6BE9">
        <w:rPr>
          <w:rFonts w:ascii="Arial" w:hAnsi="Arial" w:cs="Arial"/>
          <w:i/>
          <w:iCs/>
          <w:lang w:val="en-GB"/>
        </w:rPr>
        <w:t>epresented to be</w:t>
      </w:r>
      <w:r w:rsidR="00E31559" w:rsidRPr="005D6BE9">
        <w:rPr>
          <w:rFonts w:ascii="Arial" w:hAnsi="Arial" w:cs="Arial"/>
          <w:i/>
          <w:iCs/>
          <w:lang w:val="en-GB"/>
        </w:rPr>
        <w:t xml:space="preserve"> in the </w:t>
      </w:r>
      <w:r w:rsidR="0086495D" w:rsidRPr="005D6BE9">
        <w:rPr>
          <w:rFonts w:ascii="Arial" w:hAnsi="Arial" w:cs="Arial"/>
          <w:i/>
          <w:iCs/>
          <w:lang w:val="en-GB"/>
        </w:rPr>
        <w:t>HPSR</w:t>
      </w:r>
      <w:r w:rsidRPr="005D6BE9">
        <w:rPr>
          <w:rFonts w:ascii="Arial" w:hAnsi="Arial" w:cs="Arial"/>
          <w:i/>
          <w:iCs/>
          <w:lang w:val="en-GB"/>
        </w:rPr>
        <w:t xml:space="preserve">? </w:t>
      </w:r>
    </w:p>
    <w:p w14:paraId="41D1D061" w14:textId="77777777" w:rsidR="005D6BE9" w:rsidRPr="005D6BE9" w:rsidRDefault="005D6BE9" w:rsidP="005D6BE9">
      <w:pPr>
        <w:spacing w:after="0" w:line="360" w:lineRule="auto"/>
        <w:jc w:val="both"/>
        <w:rPr>
          <w:rFonts w:ascii="Arial" w:hAnsi="Arial" w:cs="Arial"/>
          <w:i/>
          <w:iCs/>
          <w:lang w:val="en-GB"/>
        </w:rPr>
      </w:pPr>
    </w:p>
    <w:p w14:paraId="73468DAA" w14:textId="2933E837" w:rsidR="001A1C55" w:rsidRDefault="001A1C55" w:rsidP="005D6BE9">
      <w:pPr>
        <w:spacing w:after="0" w:line="360" w:lineRule="auto"/>
        <w:jc w:val="both"/>
        <w:rPr>
          <w:rFonts w:ascii="Arial" w:hAnsi="Arial" w:cs="Arial"/>
          <w:lang w:val="en-GB"/>
        </w:rPr>
      </w:pPr>
      <w:r w:rsidRPr="005D6BE9">
        <w:rPr>
          <w:rFonts w:ascii="Arial" w:hAnsi="Arial" w:cs="Arial"/>
          <w:lang w:val="en-GB"/>
        </w:rPr>
        <w:t>We first answer the question</w:t>
      </w:r>
      <w:r w:rsidR="00A53B77" w:rsidRPr="005D6BE9">
        <w:rPr>
          <w:rFonts w:ascii="Arial" w:hAnsi="Arial" w:cs="Arial"/>
          <w:lang w:val="en-GB"/>
        </w:rPr>
        <w:t>,</w:t>
      </w:r>
      <w:r w:rsidRPr="005D6BE9">
        <w:rPr>
          <w:rFonts w:ascii="Arial" w:hAnsi="Arial" w:cs="Arial"/>
          <w:lang w:val="en-GB"/>
        </w:rPr>
        <w:t xml:space="preserve"> ‘</w:t>
      </w:r>
      <w:r w:rsidR="00A53B77" w:rsidRPr="005D6BE9">
        <w:rPr>
          <w:rFonts w:ascii="Arial" w:hAnsi="Arial" w:cs="Arial"/>
          <w:lang w:val="en-GB"/>
        </w:rPr>
        <w:t>W</w:t>
      </w:r>
      <w:r w:rsidRPr="005D6BE9">
        <w:rPr>
          <w:rFonts w:ascii="Arial" w:hAnsi="Arial" w:cs="Arial"/>
          <w:lang w:val="en-GB"/>
        </w:rPr>
        <w:t>hat</w:t>
      </w:r>
      <w:r w:rsidR="00A53B77" w:rsidRPr="005D6BE9">
        <w:rPr>
          <w:rFonts w:ascii="Arial" w:hAnsi="Arial" w:cs="Arial"/>
          <w:lang w:val="en-GB"/>
        </w:rPr>
        <w:t xml:space="preserve"> i</w:t>
      </w:r>
      <w:r w:rsidRPr="005D6BE9">
        <w:rPr>
          <w:rFonts w:ascii="Arial" w:hAnsi="Arial" w:cs="Arial"/>
          <w:lang w:val="en-GB"/>
        </w:rPr>
        <w:t xml:space="preserve">s the problem represented to be?’ to clarify the explicit and implicit problems presented in the </w:t>
      </w:r>
      <w:r w:rsidR="00411456" w:rsidRPr="005D6BE9">
        <w:rPr>
          <w:rFonts w:ascii="Arial" w:hAnsi="Arial" w:cs="Arial"/>
          <w:i/>
          <w:iCs/>
          <w:lang w:val="en-GB"/>
        </w:rPr>
        <w:t>HPSR.</w:t>
      </w:r>
      <w:r w:rsidR="0087712A" w:rsidRPr="005D6BE9">
        <w:rPr>
          <w:rFonts w:ascii="Arial" w:hAnsi="Arial" w:cs="Arial"/>
          <w:lang w:val="en-GB"/>
        </w:rPr>
        <w:t xml:space="preserve"> </w:t>
      </w:r>
      <w:r w:rsidRPr="005D6BE9">
        <w:rPr>
          <w:rFonts w:ascii="Arial" w:hAnsi="Arial" w:cs="Arial"/>
          <w:lang w:val="en-GB"/>
        </w:rPr>
        <w:t xml:space="preserve">Working backwards from the policy proposal, the Report’s central proposal is to advocate for the adoption of a piece of legislation similar to the Modern Slavery Act 2015 (UK). The term </w:t>
      </w:r>
      <w:r w:rsidR="001B25C3" w:rsidRPr="005D6BE9">
        <w:rPr>
          <w:rFonts w:ascii="Arial" w:hAnsi="Arial" w:cs="Arial"/>
          <w:lang w:val="en-GB"/>
        </w:rPr>
        <w:t>‘</w:t>
      </w:r>
      <w:r w:rsidRPr="005D6BE9">
        <w:rPr>
          <w:rFonts w:ascii="Arial" w:hAnsi="Arial" w:cs="Arial"/>
          <w:lang w:val="en-GB"/>
        </w:rPr>
        <w:t xml:space="preserve">modern slavery’ is used throughout the Report, </w:t>
      </w:r>
      <w:r w:rsidR="00400ECF" w:rsidRPr="005D6BE9">
        <w:rPr>
          <w:rFonts w:ascii="Arial" w:hAnsi="Arial" w:cs="Arial"/>
          <w:lang w:val="en-GB"/>
        </w:rPr>
        <w:t>signalling</w:t>
      </w:r>
      <w:r w:rsidRPr="005D6BE9">
        <w:rPr>
          <w:rFonts w:ascii="Arial" w:hAnsi="Arial" w:cs="Arial"/>
          <w:lang w:val="en-GB"/>
        </w:rPr>
        <w:t xml:space="preserve"> that the stated problem the Report aims to fix is modern slavery. </w:t>
      </w:r>
    </w:p>
    <w:p w14:paraId="47604AB1" w14:textId="77777777" w:rsidR="005D6BE9" w:rsidRPr="005D6BE9" w:rsidRDefault="005D6BE9" w:rsidP="005D6BE9">
      <w:pPr>
        <w:spacing w:after="0" w:line="360" w:lineRule="auto"/>
        <w:jc w:val="both"/>
        <w:rPr>
          <w:rFonts w:ascii="Arial" w:hAnsi="Arial" w:cs="Arial"/>
          <w:lang w:val="en-GB"/>
        </w:rPr>
      </w:pPr>
    </w:p>
    <w:p w14:paraId="74B5AEB0" w14:textId="541E316E" w:rsidR="001A1C55" w:rsidRDefault="001A1C55" w:rsidP="005D6BE9">
      <w:pPr>
        <w:spacing w:after="0" w:line="360" w:lineRule="auto"/>
        <w:ind w:firstLine="720"/>
        <w:jc w:val="both"/>
        <w:rPr>
          <w:rFonts w:ascii="Arial" w:hAnsi="Arial" w:cs="Arial"/>
          <w:lang w:val="en-GB"/>
        </w:rPr>
      </w:pPr>
      <w:r w:rsidRPr="005D6BE9">
        <w:rPr>
          <w:rFonts w:ascii="Arial" w:hAnsi="Arial" w:cs="Arial"/>
          <w:lang w:val="en-GB"/>
        </w:rPr>
        <w:t>While</w:t>
      </w:r>
      <w:r w:rsidR="0087712A" w:rsidRPr="005D6BE9">
        <w:rPr>
          <w:rFonts w:ascii="Arial" w:hAnsi="Arial" w:cs="Arial"/>
          <w:lang w:val="en-GB"/>
        </w:rPr>
        <w:t xml:space="preserve"> </w:t>
      </w:r>
      <w:r w:rsidRPr="005D6BE9">
        <w:rPr>
          <w:rFonts w:ascii="Arial" w:hAnsi="Arial" w:cs="Arial"/>
          <w:lang w:val="en-GB"/>
        </w:rPr>
        <w:t xml:space="preserve">at the time of writing the term </w:t>
      </w:r>
      <w:r w:rsidR="001B25C3" w:rsidRPr="005D6BE9">
        <w:rPr>
          <w:rFonts w:ascii="Arial" w:hAnsi="Arial" w:cs="Arial"/>
          <w:lang w:val="en-GB"/>
        </w:rPr>
        <w:t>‘</w:t>
      </w:r>
      <w:r w:rsidRPr="005D6BE9">
        <w:rPr>
          <w:rFonts w:ascii="Arial" w:hAnsi="Arial" w:cs="Arial"/>
          <w:lang w:val="en-GB"/>
        </w:rPr>
        <w:t>modern slavery</w:t>
      </w:r>
      <w:r w:rsidR="0087712A" w:rsidRPr="005D6BE9">
        <w:rPr>
          <w:rFonts w:ascii="Arial" w:hAnsi="Arial" w:cs="Arial"/>
          <w:lang w:val="en-GB"/>
        </w:rPr>
        <w:t>’</w:t>
      </w:r>
      <w:r w:rsidRPr="005D6BE9">
        <w:rPr>
          <w:rFonts w:ascii="Arial" w:hAnsi="Arial" w:cs="Arial"/>
          <w:lang w:val="en-GB"/>
        </w:rPr>
        <w:t xml:space="preserve"> was not in existence in Australia’s legal framework, the term has been frequently used within human trafficking discussion</w:t>
      </w:r>
      <w:r w:rsidR="00135BCF" w:rsidRPr="005D6BE9">
        <w:rPr>
          <w:rFonts w:ascii="Arial" w:hAnsi="Arial" w:cs="Arial"/>
          <w:lang w:val="en-GB"/>
        </w:rPr>
        <w:t>s</w:t>
      </w:r>
      <w:r w:rsidRPr="005D6BE9">
        <w:rPr>
          <w:rFonts w:ascii="Arial" w:hAnsi="Arial" w:cs="Arial"/>
          <w:lang w:val="en-GB"/>
        </w:rPr>
        <w:t xml:space="preserve"> in Australia since the moderni</w:t>
      </w:r>
      <w:r w:rsidR="00AC0A87" w:rsidRPr="005D6BE9">
        <w:rPr>
          <w:rFonts w:ascii="Arial" w:hAnsi="Arial" w:cs="Arial"/>
          <w:lang w:val="en-GB"/>
        </w:rPr>
        <w:t>s</w:t>
      </w:r>
      <w:r w:rsidRPr="005D6BE9">
        <w:rPr>
          <w:rFonts w:ascii="Arial" w:hAnsi="Arial" w:cs="Arial"/>
          <w:lang w:val="en-GB"/>
        </w:rPr>
        <w:t>ation of human trafficking laws</w:t>
      </w:r>
      <w:r w:rsidR="00CC7074" w:rsidRPr="005D6BE9">
        <w:rPr>
          <w:rFonts w:ascii="Arial" w:hAnsi="Arial" w:cs="Arial"/>
          <w:lang w:val="en-GB"/>
        </w:rPr>
        <w:t xml:space="preserve"> in 1999</w:t>
      </w:r>
      <w:r w:rsidRPr="005D6BE9">
        <w:rPr>
          <w:rFonts w:ascii="Arial" w:hAnsi="Arial" w:cs="Arial"/>
          <w:lang w:val="en-GB"/>
        </w:rPr>
        <w:t xml:space="preserve">. </w:t>
      </w:r>
      <w:r w:rsidR="002A082B" w:rsidRPr="005D6BE9">
        <w:rPr>
          <w:rFonts w:ascii="Arial" w:hAnsi="Arial" w:cs="Arial"/>
          <w:lang w:val="en-GB"/>
        </w:rPr>
        <w:t>Despite this</w:t>
      </w:r>
      <w:r w:rsidRPr="005D6BE9">
        <w:rPr>
          <w:rFonts w:ascii="Arial" w:hAnsi="Arial" w:cs="Arial"/>
          <w:lang w:val="en-GB"/>
        </w:rPr>
        <w:t xml:space="preserve">, there has been little effort devoted to defining </w:t>
      </w:r>
      <w:r w:rsidR="00A20F01" w:rsidRPr="005D6BE9">
        <w:rPr>
          <w:rFonts w:ascii="Arial" w:hAnsi="Arial" w:cs="Arial"/>
          <w:lang w:val="en-GB"/>
        </w:rPr>
        <w:t>it</w:t>
      </w:r>
      <w:r w:rsidRPr="005D6BE9">
        <w:rPr>
          <w:rFonts w:ascii="Arial" w:hAnsi="Arial" w:cs="Arial"/>
          <w:lang w:val="en-GB"/>
        </w:rPr>
        <w:t xml:space="preserve">. The </w:t>
      </w:r>
      <w:r w:rsidR="0086495D" w:rsidRPr="005D6BE9">
        <w:rPr>
          <w:rFonts w:ascii="Arial" w:hAnsi="Arial" w:cs="Arial"/>
          <w:i/>
          <w:iCs/>
          <w:lang w:val="en-GB"/>
        </w:rPr>
        <w:t>HPSR</w:t>
      </w:r>
      <w:r w:rsidRPr="005D6BE9">
        <w:rPr>
          <w:rFonts w:ascii="Arial" w:hAnsi="Arial" w:cs="Arial"/>
          <w:lang w:val="en-GB"/>
        </w:rPr>
        <w:t xml:space="preserve">, however, dedicates an entire chapter to discussing the possible definitions and uses for the term. Ultimately, </w:t>
      </w:r>
      <w:r w:rsidR="003B1BFA" w:rsidRPr="005D6BE9">
        <w:rPr>
          <w:rFonts w:ascii="Arial" w:hAnsi="Arial" w:cs="Arial"/>
          <w:lang w:val="en-GB"/>
        </w:rPr>
        <w:t xml:space="preserve">the </w:t>
      </w:r>
      <w:r w:rsidR="00CC49A2" w:rsidRPr="005D6BE9">
        <w:rPr>
          <w:rFonts w:ascii="Arial" w:hAnsi="Arial" w:cs="Arial"/>
          <w:lang w:val="en-GB"/>
        </w:rPr>
        <w:t>R</w:t>
      </w:r>
      <w:r w:rsidR="003B1BFA" w:rsidRPr="005D6BE9">
        <w:rPr>
          <w:rFonts w:ascii="Arial" w:hAnsi="Arial" w:cs="Arial"/>
          <w:lang w:val="en-GB"/>
        </w:rPr>
        <w:t xml:space="preserve">eport </w:t>
      </w:r>
      <w:r w:rsidRPr="005D6BE9">
        <w:rPr>
          <w:rFonts w:ascii="Arial" w:hAnsi="Arial" w:cs="Arial"/>
          <w:lang w:val="en-GB"/>
        </w:rPr>
        <w:t xml:space="preserve">determines that modern slavery should continue to be a ‘non-legal umbrella term’ that draws from Australian human trafficking offences as well as child exploitation in residential settings, child labour and ‘other slavery-like practices’ (JFADT, 2017, 46). The </w:t>
      </w:r>
      <w:r w:rsidR="0086495D" w:rsidRPr="005D6BE9">
        <w:rPr>
          <w:rFonts w:ascii="Arial" w:hAnsi="Arial" w:cs="Arial"/>
          <w:i/>
          <w:iCs/>
          <w:lang w:val="en-GB"/>
        </w:rPr>
        <w:t>HPSR</w:t>
      </w:r>
      <w:r w:rsidRPr="005D6BE9">
        <w:rPr>
          <w:rFonts w:ascii="Arial" w:hAnsi="Arial" w:cs="Arial"/>
          <w:lang w:val="en-GB"/>
        </w:rPr>
        <w:t xml:space="preserve"> also declares that modern slavery is a problem that occurs in Australia and is ‘present across a range of industries’ (JFADT, 2017, ix).  </w:t>
      </w:r>
    </w:p>
    <w:p w14:paraId="255B2D97" w14:textId="77777777" w:rsidR="005D6BE9" w:rsidRPr="005D6BE9" w:rsidRDefault="005D6BE9" w:rsidP="005D6BE9">
      <w:pPr>
        <w:spacing w:after="0" w:line="360" w:lineRule="auto"/>
        <w:ind w:firstLine="720"/>
        <w:jc w:val="both"/>
        <w:rPr>
          <w:rFonts w:ascii="Arial" w:hAnsi="Arial" w:cs="Arial"/>
          <w:lang w:val="en-GB"/>
        </w:rPr>
      </w:pPr>
    </w:p>
    <w:p w14:paraId="78FB808F" w14:textId="35F0D186" w:rsidR="001A1C55" w:rsidRDefault="001A1C55" w:rsidP="005D6BE9">
      <w:pPr>
        <w:spacing w:after="0" w:line="360" w:lineRule="auto"/>
        <w:ind w:firstLine="720"/>
        <w:jc w:val="both"/>
        <w:rPr>
          <w:rFonts w:ascii="Arial" w:hAnsi="Arial" w:cs="Arial"/>
          <w:lang w:val="en-GB"/>
        </w:rPr>
      </w:pPr>
      <w:r w:rsidRPr="005D6BE9">
        <w:rPr>
          <w:rFonts w:ascii="Arial" w:hAnsi="Arial" w:cs="Arial"/>
          <w:lang w:val="en-GB"/>
        </w:rPr>
        <w:t>In the chapter dedicated to defining modern slavery, the term ‘sex trafficking’ is used repeatedly and the inclusion of the sub-chapter titled ‘</w:t>
      </w:r>
      <w:r w:rsidR="00491E9B" w:rsidRPr="005D6BE9">
        <w:rPr>
          <w:rFonts w:ascii="Arial" w:hAnsi="Arial" w:cs="Arial"/>
          <w:lang w:val="en-GB"/>
        </w:rPr>
        <w:t>S</w:t>
      </w:r>
      <w:r w:rsidRPr="005D6BE9">
        <w:rPr>
          <w:rFonts w:ascii="Arial" w:hAnsi="Arial" w:cs="Arial"/>
          <w:lang w:val="en-GB"/>
        </w:rPr>
        <w:t xml:space="preserve">ex </w:t>
      </w:r>
      <w:r w:rsidR="00491E9B" w:rsidRPr="005D6BE9">
        <w:rPr>
          <w:rFonts w:ascii="Arial" w:hAnsi="Arial" w:cs="Arial"/>
          <w:lang w:val="en-GB"/>
        </w:rPr>
        <w:t>T</w:t>
      </w:r>
      <w:r w:rsidRPr="005D6BE9">
        <w:rPr>
          <w:rFonts w:ascii="Arial" w:hAnsi="Arial" w:cs="Arial"/>
          <w:lang w:val="en-GB"/>
        </w:rPr>
        <w:t xml:space="preserve">rafficking’ indicates that </w:t>
      </w:r>
      <w:r w:rsidR="00491E9B" w:rsidRPr="005D6BE9">
        <w:rPr>
          <w:rFonts w:ascii="Arial" w:hAnsi="Arial" w:cs="Arial"/>
          <w:lang w:val="en-GB"/>
        </w:rPr>
        <w:t xml:space="preserve">it </w:t>
      </w:r>
      <w:r w:rsidRPr="005D6BE9">
        <w:rPr>
          <w:rFonts w:ascii="Arial" w:hAnsi="Arial" w:cs="Arial"/>
          <w:lang w:val="en-GB"/>
        </w:rPr>
        <w:t xml:space="preserve">is </w:t>
      </w:r>
      <w:r w:rsidR="0019530C" w:rsidRPr="005D6BE9">
        <w:rPr>
          <w:rFonts w:ascii="Arial" w:hAnsi="Arial" w:cs="Arial"/>
          <w:lang w:val="en-GB"/>
        </w:rPr>
        <w:t>in</w:t>
      </w:r>
      <w:r w:rsidR="006F6354" w:rsidRPr="005D6BE9">
        <w:rPr>
          <w:rFonts w:ascii="Arial" w:hAnsi="Arial" w:cs="Arial"/>
          <w:lang w:val="en-GB"/>
        </w:rPr>
        <w:t xml:space="preserve">cluded </w:t>
      </w:r>
      <w:r w:rsidRPr="005D6BE9">
        <w:rPr>
          <w:rFonts w:ascii="Arial" w:hAnsi="Arial" w:cs="Arial"/>
          <w:lang w:val="en-GB"/>
        </w:rPr>
        <w:t xml:space="preserve">under the umbrella of modern slavery. As this analysis is interested in the </w:t>
      </w:r>
      <w:r w:rsidR="0086495D" w:rsidRPr="005D6BE9">
        <w:rPr>
          <w:rFonts w:ascii="Arial" w:hAnsi="Arial" w:cs="Arial"/>
          <w:i/>
          <w:iCs/>
          <w:lang w:val="en-GB"/>
        </w:rPr>
        <w:t>HPSR</w:t>
      </w:r>
      <w:r w:rsidRPr="005D6BE9">
        <w:rPr>
          <w:rFonts w:ascii="Arial" w:hAnsi="Arial" w:cs="Arial"/>
          <w:lang w:val="en-GB"/>
        </w:rPr>
        <w:t>’s understanding of the relationship between modern slavery and the sex industry, this paper focuses on the ‘</w:t>
      </w:r>
      <w:r w:rsidR="00491E9B" w:rsidRPr="005D6BE9">
        <w:rPr>
          <w:rFonts w:ascii="Arial" w:hAnsi="Arial" w:cs="Arial"/>
          <w:lang w:val="en-GB"/>
        </w:rPr>
        <w:t>S</w:t>
      </w:r>
      <w:r w:rsidRPr="005D6BE9">
        <w:rPr>
          <w:rFonts w:ascii="Arial" w:hAnsi="Arial" w:cs="Arial"/>
          <w:lang w:val="en-GB"/>
        </w:rPr>
        <w:t xml:space="preserve">ex </w:t>
      </w:r>
      <w:r w:rsidR="00491E9B" w:rsidRPr="005D6BE9">
        <w:rPr>
          <w:rFonts w:ascii="Arial" w:hAnsi="Arial" w:cs="Arial"/>
          <w:lang w:val="en-GB"/>
        </w:rPr>
        <w:t>T</w:t>
      </w:r>
      <w:r w:rsidRPr="005D6BE9">
        <w:rPr>
          <w:rFonts w:ascii="Arial" w:hAnsi="Arial" w:cs="Arial"/>
          <w:lang w:val="en-GB"/>
        </w:rPr>
        <w:t xml:space="preserve">rafficking’ subchapter and the </w:t>
      </w:r>
      <w:r w:rsidR="00491E9B" w:rsidRPr="005D6BE9">
        <w:rPr>
          <w:rFonts w:ascii="Arial" w:hAnsi="Arial" w:cs="Arial"/>
          <w:lang w:val="en-GB"/>
        </w:rPr>
        <w:t>recommendations</w:t>
      </w:r>
      <w:r w:rsidRPr="005D6BE9">
        <w:rPr>
          <w:rFonts w:ascii="Arial" w:hAnsi="Arial" w:cs="Arial"/>
          <w:lang w:val="en-GB"/>
        </w:rPr>
        <w:t xml:space="preserve"> drawn from it. </w:t>
      </w:r>
    </w:p>
    <w:p w14:paraId="72A2C915" w14:textId="77777777" w:rsidR="005D6BE9" w:rsidRPr="005D6BE9" w:rsidRDefault="005D6BE9" w:rsidP="005D6BE9">
      <w:pPr>
        <w:spacing w:after="0" w:line="360" w:lineRule="auto"/>
        <w:ind w:firstLine="720"/>
        <w:jc w:val="both"/>
        <w:rPr>
          <w:rFonts w:ascii="Arial" w:hAnsi="Arial" w:cs="Arial"/>
          <w:lang w:val="en-GB"/>
        </w:rPr>
      </w:pPr>
    </w:p>
    <w:p w14:paraId="637FDA12" w14:textId="6A092ECD" w:rsidR="001A1C55" w:rsidRDefault="001A1C55" w:rsidP="005D6BE9">
      <w:pPr>
        <w:spacing w:after="0" w:line="360" w:lineRule="auto"/>
        <w:ind w:firstLine="720"/>
        <w:jc w:val="both"/>
        <w:rPr>
          <w:rFonts w:ascii="Arial" w:hAnsi="Arial" w:cs="Arial"/>
          <w:lang w:val="en-GB"/>
        </w:rPr>
      </w:pPr>
      <w:r w:rsidRPr="005D6BE9">
        <w:rPr>
          <w:rFonts w:ascii="Arial" w:hAnsi="Arial" w:cs="Arial"/>
          <w:lang w:val="en-GB"/>
        </w:rPr>
        <w:t>Similar to modern slavery, the Report does not define activities or behavio</w:t>
      </w:r>
      <w:r w:rsidR="00E909D6" w:rsidRPr="005D6BE9">
        <w:rPr>
          <w:rFonts w:ascii="Arial" w:hAnsi="Arial" w:cs="Arial"/>
          <w:lang w:val="en-GB"/>
        </w:rPr>
        <w:t>u</w:t>
      </w:r>
      <w:r w:rsidRPr="005D6BE9">
        <w:rPr>
          <w:rFonts w:ascii="Arial" w:hAnsi="Arial" w:cs="Arial"/>
          <w:lang w:val="en-GB"/>
        </w:rPr>
        <w:t xml:space="preserve">rs that fall under the umbrella of sex trafficking. While not explicitly defined, the </w:t>
      </w:r>
      <w:r w:rsidR="006F6354" w:rsidRPr="005D6BE9">
        <w:rPr>
          <w:rFonts w:ascii="Arial" w:hAnsi="Arial" w:cs="Arial"/>
          <w:lang w:val="en-GB"/>
        </w:rPr>
        <w:t xml:space="preserve">‘Sex Trafficking’ </w:t>
      </w:r>
      <w:r w:rsidRPr="005D6BE9">
        <w:rPr>
          <w:rFonts w:ascii="Arial" w:hAnsi="Arial" w:cs="Arial"/>
          <w:lang w:val="en-GB"/>
        </w:rPr>
        <w:t>chapter focuses on discussing the relationship between human trafficking and the sex industry</w:t>
      </w:r>
      <w:r w:rsidR="00A108CE" w:rsidRPr="005D6BE9">
        <w:rPr>
          <w:rFonts w:ascii="Arial" w:hAnsi="Arial" w:cs="Arial"/>
          <w:lang w:val="en-GB"/>
        </w:rPr>
        <w:t xml:space="preserve"> and</w:t>
      </w:r>
      <w:r w:rsidRPr="005D6BE9">
        <w:rPr>
          <w:rFonts w:ascii="Arial" w:hAnsi="Arial" w:cs="Arial"/>
          <w:lang w:val="en-GB"/>
        </w:rPr>
        <w:t xml:space="preserve"> </w:t>
      </w:r>
      <w:r w:rsidR="00262B1A" w:rsidRPr="005D6BE9">
        <w:rPr>
          <w:rFonts w:ascii="Arial" w:hAnsi="Arial" w:cs="Arial"/>
          <w:lang w:val="en-GB"/>
        </w:rPr>
        <w:t xml:space="preserve">uses </w:t>
      </w:r>
      <w:r w:rsidRPr="005D6BE9">
        <w:rPr>
          <w:rFonts w:ascii="Arial" w:hAnsi="Arial" w:cs="Arial"/>
          <w:lang w:val="en-GB"/>
        </w:rPr>
        <w:t xml:space="preserve">a variety of terms interchangeably </w:t>
      </w:r>
      <w:r w:rsidR="00A108CE" w:rsidRPr="005D6BE9">
        <w:rPr>
          <w:rFonts w:ascii="Arial" w:hAnsi="Arial" w:cs="Arial"/>
          <w:lang w:val="en-GB"/>
        </w:rPr>
        <w:t>to describe</w:t>
      </w:r>
      <w:r w:rsidRPr="005D6BE9">
        <w:rPr>
          <w:rFonts w:ascii="Arial" w:hAnsi="Arial" w:cs="Arial"/>
          <w:lang w:val="en-GB"/>
        </w:rPr>
        <w:t xml:space="preserve"> sex trafficking, such as ‘human trafficking for the purpose of sexual slavery’, ‘sexual exploitation’, ‘involuntary human trafficking in the sex industry’, and ‘slavery-like offences’. Some of the terms are defined within Australia’s </w:t>
      </w:r>
      <w:r w:rsidR="00C73450" w:rsidRPr="005D6BE9">
        <w:rPr>
          <w:rFonts w:ascii="Arial" w:hAnsi="Arial" w:cs="Arial"/>
          <w:lang w:val="en-GB"/>
        </w:rPr>
        <w:t>human trafficking</w:t>
      </w:r>
      <w:r w:rsidRPr="005D6BE9">
        <w:rPr>
          <w:rFonts w:ascii="Arial" w:hAnsi="Arial" w:cs="Arial"/>
          <w:lang w:val="en-GB"/>
        </w:rPr>
        <w:t xml:space="preserve"> legislation, such as ‘slavery’ and ‘slavery-like offences’ (Criminal Code 1995, Cth). Other terms have legal definitions but are not part of Australia’s official human trafficking </w:t>
      </w:r>
      <w:r w:rsidRPr="005D6BE9">
        <w:rPr>
          <w:rFonts w:ascii="Arial" w:hAnsi="Arial" w:cs="Arial"/>
          <w:lang w:val="en-GB"/>
        </w:rPr>
        <w:lastRenderedPageBreak/>
        <w:t xml:space="preserve">legal response, such as ‘sexual slavery’, while others do not have an agreed upon definition in Australia, such as ‘involuntary human trafficking’.  </w:t>
      </w:r>
    </w:p>
    <w:p w14:paraId="7D555831" w14:textId="77777777" w:rsidR="005D6BE9" w:rsidRPr="005D6BE9" w:rsidRDefault="005D6BE9" w:rsidP="005D6BE9">
      <w:pPr>
        <w:spacing w:after="0" w:line="360" w:lineRule="auto"/>
        <w:ind w:firstLine="720"/>
        <w:jc w:val="both"/>
        <w:rPr>
          <w:rFonts w:ascii="Arial" w:hAnsi="Arial" w:cs="Arial"/>
          <w:lang w:val="en-GB"/>
        </w:rPr>
      </w:pPr>
    </w:p>
    <w:p w14:paraId="3ADDC293" w14:textId="4E255B51" w:rsidR="001A1C55" w:rsidRDefault="001A1C55" w:rsidP="005D6BE9">
      <w:pPr>
        <w:spacing w:after="0" w:line="360" w:lineRule="auto"/>
        <w:ind w:firstLine="720"/>
        <w:jc w:val="both"/>
        <w:rPr>
          <w:rFonts w:ascii="Arial" w:hAnsi="Arial" w:cs="Arial"/>
          <w:lang w:val="en-GB"/>
        </w:rPr>
      </w:pPr>
      <w:r w:rsidRPr="005D6BE9">
        <w:rPr>
          <w:rFonts w:ascii="Arial" w:hAnsi="Arial" w:cs="Arial"/>
          <w:lang w:val="en-GB"/>
        </w:rPr>
        <w:t xml:space="preserve">The ‘Sex Trafficking’ subchapter does, however, clarify what sex trafficking in Australia does not include. It states: </w:t>
      </w:r>
    </w:p>
    <w:p w14:paraId="0A2D14A9" w14:textId="77777777" w:rsidR="005D6BE9" w:rsidRPr="005D6BE9" w:rsidRDefault="005D6BE9" w:rsidP="005D6BE9">
      <w:pPr>
        <w:spacing w:after="0" w:line="360" w:lineRule="auto"/>
        <w:ind w:firstLine="720"/>
        <w:jc w:val="both"/>
        <w:rPr>
          <w:rFonts w:ascii="Arial" w:hAnsi="Arial" w:cs="Arial"/>
          <w:lang w:val="en-GB"/>
        </w:rPr>
      </w:pPr>
    </w:p>
    <w:p w14:paraId="5FCF47E1" w14:textId="77777777" w:rsidR="009C22AE" w:rsidRDefault="001A1C55" w:rsidP="009C22AE">
      <w:pPr>
        <w:spacing w:after="0" w:line="360" w:lineRule="auto"/>
        <w:ind w:left="851" w:right="804"/>
        <w:jc w:val="both"/>
        <w:rPr>
          <w:rFonts w:ascii="Arial" w:hAnsi="Arial" w:cs="Arial"/>
          <w:lang w:val="en-GB"/>
        </w:rPr>
      </w:pPr>
      <w:r w:rsidRPr="009C22AE">
        <w:rPr>
          <w:rFonts w:ascii="Arial" w:hAnsi="Arial" w:cs="Arial"/>
          <w:lang w:val="en-GB"/>
        </w:rPr>
        <w:t xml:space="preserve">the Committee agrees that the definitions of sex trafficking as outlined in the [Modern Slavery Act 2015 </w:t>
      </w:r>
      <w:r w:rsidR="00C175D6" w:rsidRPr="009C22AE">
        <w:rPr>
          <w:rFonts w:ascii="Arial" w:hAnsi="Arial" w:cs="Arial"/>
          <w:lang w:val="en-GB"/>
        </w:rPr>
        <w:t>(</w:t>
      </w:r>
      <w:r w:rsidRPr="009C22AE">
        <w:rPr>
          <w:rFonts w:ascii="Arial" w:hAnsi="Arial" w:cs="Arial"/>
          <w:lang w:val="en-GB"/>
        </w:rPr>
        <w:t>UK</w:t>
      </w:r>
      <w:r w:rsidR="00C175D6" w:rsidRPr="009C22AE">
        <w:rPr>
          <w:rFonts w:ascii="Arial" w:hAnsi="Arial" w:cs="Arial"/>
          <w:lang w:val="en-GB"/>
        </w:rPr>
        <w:t>)</w:t>
      </w:r>
      <w:r w:rsidR="007D14A6" w:rsidRPr="009C22AE">
        <w:rPr>
          <w:rFonts w:ascii="Arial" w:hAnsi="Arial" w:cs="Arial"/>
          <w:lang w:val="en-GB"/>
        </w:rPr>
        <w:t xml:space="preserve"> is</w:t>
      </w:r>
      <w:r w:rsidRPr="009C22AE">
        <w:rPr>
          <w:rFonts w:ascii="Arial" w:hAnsi="Arial" w:cs="Arial"/>
          <w:lang w:val="en-GB"/>
        </w:rPr>
        <w:t xml:space="preserve">] not appropriate for adoption in Australia. The Committee supports the current Australian definitions of human trafficking, slavery and slavery-like offences under the Criminal Code </w:t>
      </w:r>
    </w:p>
    <w:p w14:paraId="687E59AA" w14:textId="2E055E9A" w:rsidR="001A1C55" w:rsidRDefault="001A1C55" w:rsidP="009C22AE">
      <w:pPr>
        <w:spacing w:after="0" w:line="360" w:lineRule="auto"/>
        <w:ind w:left="851" w:right="804"/>
        <w:jc w:val="right"/>
        <w:rPr>
          <w:rFonts w:ascii="Arial" w:hAnsi="Arial" w:cs="Arial"/>
          <w:lang w:val="en-GB"/>
        </w:rPr>
      </w:pPr>
      <w:r w:rsidRPr="005D6BE9">
        <w:rPr>
          <w:rFonts w:ascii="Arial" w:hAnsi="Arial" w:cs="Arial"/>
          <w:lang w:val="en-GB"/>
        </w:rPr>
        <w:t>(JFADT, 2017, 216</w:t>
      </w:r>
      <w:r w:rsidR="004E093A" w:rsidRPr="005D6BE9">
        <w:rPr>
          <w:rFonts w:ascii="Arial" w:hAnsi="Arial" w:cs="Arial"/>
          <w:lang w:val="en-GB"/>
        </w:rPr>
        <w:t>)</w:t>
      </w:r>
      <w:r w:rsidRPr="005D6BE9">
        <w:rPr>
          <w:rFonts w:ascii="Arial" w:hAnsi="Arial" w:cs="Arial"/>
          <w:lang w:val="en-GB"/>
        </w:rPr>
        <w:t xml:space="preserve">. </w:t>
      </w:r>
    </w:p>
    <w:p w14:paraId="1F0B07F3" w14:textId="77777777" w:rsidR="009C22AE" w:rsidRPr="005D6BE9" w:rsidRDefault="009C22AE" w:rsidP="009C22AE">
      <w:pPr>
        <w:spacing w:after="0" w:line="360" w:lineRule="auto"/>
        <w:ind w:left="851" w:right="804"/>
        <w:jc w:val="right"/>
        <w:rPr>
          <w:rFonts w:ascii="Arial" w:hAnsi="Arial" w:cs="Arial"/>
          <w:lang w:val="en-GB"/>
        </w:rPr>
      </w:pPr>
    </w:p>
    <w:p w14:paraId="5242CDE9" w14:textId="053CAC21" w:rsidR="001A1C55" w:rsidRDefault="001A1C55" w:rsidP="005D6BE9">
      <w:pPr>
        <w:spacing w:after="0" w:line="360" w:lineRule="auto"/>
        <w:ind w:firstLine="720"/>
        <w:jc w:val="both"/>
        <w:rPr>
          <w:rFonts w:ascii="Arial" w:hAnsi="Arial" w:cs="Arial"/>
          <w:lang w:val="en-GB"/>
        </w:rPr>
      </w:pPr>
      <w:r w:rsidRPr="005D6BE9">
        <w:rPr>
          <w:rFonts w:ascii="Arial" w:hAnsi="Arial" w:cs="Arial"/>
          <w:lang w:val="en-GB"/>
        </w:rPr>
        <w:t xml:space="preserve">While the term </w:t>
      </w:r>
      <w:r w:rsidR="00A81108" w:rsidRPr="005D6BE9">
        <w:rPr>
          <w:rFonts w:ascii="Arial" w:hAnsi="Arial" w:cs="Arial"/>
          <w:lang w:val="en-GB"/>
        </w:rPr>
        <w:t>‘</w:t>
      </w:r>
      <w:r w:rsidRPr="005D6BE9">
        <w:rPr>
          <w:rFonts w:ascii="Arial" w:hAnsi="Arial" w:cs="Arial"/>
          <w:lang w:val="en-GB"/>
        </w:rPr>
        <w:t>sex trafficking’ is not used within the Modern Slavery Act</w:t>
      </w:r>
      <w:r w:rsidR="004B0048" w:rsidRPr="005D6BE9">
        <w:rPr>
          <w:rFonts w:ascii="Arial" w:hAnsi="Arial" w:cs="Arial"/>
          <w:lang w:val="en-GB"/>
        </w:rPr>
        <w:t xml:space="preserve"> </w:t>
      </w:r>
      <w:r w:rsidR="00C94350" w:rsidRPr="005D6BE9">
        <w:rPr>
          <w:rFonts w:ascii="Arial" w:hAnsi="Arial" w:cs="Arial"/>
          <w:lang w:val="en-GB"/>
        </w:rPr>
        <w:t>2015</w:t>
      </w:r>
      <w:r w:rsidR="00C94350" w:rsidRPr="005D6BE9">
        <w:rPr>
          <w:rFonts w:ascii="Arial" w:hAnsi="Arial" w:cs="Arial"/>
          <w:i/>
          <w:iCs/>
          <w:lang w:val="en-GB"/>
        </w:rPr>
        <w:t xml:space="preserve"> </w:t>
      </w:r>
      <w:r w:rsidR="00C94350" w:rsidRPr="005D6BE9">
        <w:rPr>
          <w:rFonts w:ascii="Arial" w:hAnsi="Arial" w:cs="Arial"/>
          <w:lang w:val="en-GB"/>
        </w:rPr>
        <w:t>(UK)</w:t>
      </w:r>
      <w:r w:rsidRPr="005D6BE9">
        <w:rPr>
          <w:rFonts w:ascii="Arial" w:hAnsi="Arial" w:cs="Arial"/>
          <w:lang w:val="en-GB"/>
        </w:rPr>
        <w:t xml:space="preserve">, the </w:t>
      </w:r>
      <w:r w:rsidR="00923C55" w:rsidRPr="005D6BE9">
        <w:rPr>
          <w:rFonts w:ascii="Arial" w:hAnsi="Arial" w:cs="Arial"/>
          <w:lang w:val="en-GB"/>
        </w:rPr>
        <w:t>A</w:t>
      </w:r>
      <w:r w:rsidRPr="005D6BE9">
        <w:rPr>
          <w:rFonts w:ascii="Arial" w:hAnsi="Arial" w:cs="Arial"/>
          <w:lang w:val="en-GB"/>
        </w:rPr>
        <w:t>ct refers to ‘sexual exploitation’ in Section 3: Meaning of Exploitation (Modern Slavery Act 2015, UK). This section indicates that ‘sexual exploitation’ refers to ‘Part 1 of the Sexual Offences Act 2003 [UK] (sexual offences)’ which criminalises activities associated with sex work, such as ‘solicitation’, ‘causing or inciting prostitution for gain’ and ‘controlling prostitution for gain’. The sex work-related offences in the Sexual Offences Act 2003 (UK) are components of the UK’s sex industry regulation where brothels, ‘pimping’</w:t>
      </w:r>
      <w:r w:rsidR="00D67357" w:rsidRPr="005D6BE9">
        <w:rPr>
          <w:rFonts w:ascii="Arial" w:hAnsi="Arial" w:cs="Arial"/>
          <w:lang w:val="en-GB"/>
        </w:rPr>
        <w:t>,</w:t>
      </w:r>
      <w:r w:rsidRPr="005D6BE9">
        <w:rPr>
          <w:rFonts w:ascii="Arial" w:hAnsi="Arial" w:cs="Arial"/>
          <w:lang w:val="en-GB"/>
        </w:rPr>
        <w:t xml:space="preserve"> and street-based sex work are criminalised. That is, the ‘solicitation’ offence is used to criminalise street-based sex workers while ‘causing or inciting prostitution for gain’ and ‘controlling prostitution for gain’ are ‘anti-pimping’ legislation that have been critiqued by some to criminalise sex workers who operate with other sex workers from the same premise or hire staff (English Collective of Prostitutes, na, 1). Consequently, the UK Modern Slavery Act 2015 captures breaches to sex industry regulation as forms of human trafficking. On the other hand, while similar offences directed at street-based sex workers, brothels</w:t>
      </w:r>
      <w:r w:rsidR="005E1E4A" w:rsidRPr="005D6BE9">
        <w:rPr>
          <w:rFonts w:ascii="Arial" w:hAnsi="Arial" w:cs="Arial"/>
          <w:lang w:val="en-GB"/>
        </w:rPr>
        <w:t>,</w:t>
      </w:r>
      <w:r w:rsidRPr="005D6BE9">
        <w:rPr>
          <w:rFonts w:ascii="Arial" w:hAnsi="Arial" w:cs="Arial"/>
          <w:lang w:val="en-GB"/>
        </w:rPr>
        <w:t xml:space="preserve"> and ‘pimps’ exist in a number of states and territories in Australia, the ‘Sex Trafficking’ chapter clearly indicates that the Report’s conceptualisation of human trafficking </w:t>
      </w:r>
      <w:r w:rsidR="009C44E8" w:rsidRPr="005D6BE9">
        <w:rPr>
          <w:rFonts w:ascii="Arial" w:hAnsi="Arial" w:cs="Arial"/>
          <w:lang w:val="en-GB"/>
        </w:rPr>
        <w:t xml:space="preserve">in the sex industry </w:t>
      </w:r>
      <w:r w:rsidRPr="005D6BE9">
        <w:rPr>
          <w:rFonts w:ascii="Arial" w:hAnsi="Arial" w:cs="Arial"/>
          <w:lang w:val="en-GB"/>
        </w:rPr>
        <w:t xml:space="preserve">or sex trafficking </w:t>
      </w:r>
      <w:r w:rsidR="005E1E4A" w:rsidRPr="005D6BE9">
        <w:rPr>
          <w:rFonts w:ascii="Arial" w:hAnsi="Arial" w:cs="Arial"/>
          <w:lang w:val="en-GB"/>
        </w:rPr>
        <w:t>excludes</w:t>
      </w:r>
      <w:r w:rsidRPr="005D6BE9">
        <w:rPr>
          <w:rFonts w:ascii="Arial" w:hAnsi="Arial" w:cs="Arial"/>
          <w:lang w:val="en-GB"/>
        </w:rPr>
        <w:t xml:space="preserve"> breaches to sex industry regulation.</w:t>
      </w:r>
    </w:p>
    <w:p w14:paraId="03A41FF8" w14:textId="77777777" w:rsidR="009C22AE" w:rsidRPr="005D6BE9" w:rsidRDefault="009C22AE" w:rsidP="005D6BE9">
      <w:pPr>
        <w:spacing w:after="0" w:line="360" w:lineRule="auto"/>
        <w:ind w:firstLine="720"/>
        <w:jc w:val="both"/>
        <w:rPr>
          <w:rFonts w:ascii="Arial" w:hAnsi="Arial" w:cs="Arial"/>
          <w:lang w:val="en-GB"/>
        </w:rPr>
      </w:pPr>
    </w:p>
    <w:p w14:paraId="67E246D9" w14:textId="4A6B267D" w:rsidR="001A1C55" w:rsidRDefault="001A1C55" w:rsidP="005D6BE9">
      <w:pPr>
        <w:spacing w:after="0" w:line="360" w:lineRule="auto"/>
        <w:ind w:firstLine="720"/>
        <w:jc w:val="both"/>
        <w:rPr>
          <w:rFonts w:ascii="Arial" w:hAnsi="Arial" w:cs="Arial"/>
          <w:lang w:val="en-GB"/>
        </w:rPr>
      </w:pPr>
      <w:r w:rsidRPr="005D6BE9">
        <w:rPr>
          <w:rFonts w:ascii="Arial" w:hAnsi="Arial" w:cs="Arial"/>
          <w:lang w:val="en-GB"/>
        </w:rPr>
        <w:t xml:space="preserve">While the chapter speculates whether the problem of sex trafficking can be prevented through sex industry regulation, it ultimately rejects different legal models advocated by organisations in the sector, stating that further research is needed before the Report is able to comment on a best practice regulatory model (JFADT, 2017, 215). In its place, the </w:t>
      </w:r>
      <w:r w:rsidR="0086495D" w:rsidRPr="005D6BE9">
        <w:rPr>
          <w:rFonts w:ascii="Arial" w:hAnsi="Arial" w:cs="Arial"/>
          <w:i/>
          <w:iCs/>
          <w:lang w:val="en-GB"/>
        </w:rPr>
        <w:t>HPSR</w:t>
      </w:r>
      <w:r w:rsidRPr="005D6BE9">
        <w:rPr>
          <w:rFonts w:ascii="Arial" w:hAnsi="Arial" w:cs="Arial"/>
          <w:lang w:val="en-GB"/>
        </w:rPr>
        <w:t xml:space="preserve"> endorses </w:t>
      </w:r>
      <w:r w:rsidR="009C44E8" w:rsidRPr="005D6BE9">
        <w:rPr>
          <w:rFonts w:ascii="Arial" w:hAnsi="Arial" w:cs="Arial"/>
          <w:lang w:val="en-GB"/>
        </w:rPr>
        <w:t>the recommendations</w:t>
      </w:r>
      <w:r w:rsidR="00A529F5" w:rsidRPr="005D6BE9">
        <w:rPr>
          <w:rFonts w:ascii="Arial" w:hAnsi="Arial" w:cs="Arial"/>
          <w:lang w:val="en-GB"/>
        </w:rPr>
        <w:t xml:space="preserve"> of</w:t>
      </w:r>
      <w:r w:rsidR="009C44E8" w:rsidRPr="005D6BE9">
        <w:rPr>
          <w:rFonts w:ascii="Arial" w:hAnsi="Arial" w:cs="Arial"/>
          <w:lang w:val="en-GB"/>
        </w:rPr>
        <w:t xml:space="preserve"> </w:t>
      </w:r>
      <w:r w:rsidR="00717A51" w:rsidRPr="005D6BE9">
        <w:rPr>
          <w:rFonts w:ascii="Arial" w:hAnsi="Arial" w:cs="Arial"/>
          <w:lang w:val="en-GB"/>
        </w:rPr>
        <w:t>a previous inquiry report</w:t>
      </w:r>
      <w:r w:rsidR="009C44E8" w:rsidRPr="005D6BE9">
        <w:rPr>
          <w:rFonts w:ascii="Arial" w:hAnsi="Arial" w:cs="Arial"/>
          <w:lang w:val="en-GB"/>
        </w:rPr>
        <w:t xml:space="preserve">, </w:t>
      </w:r>
      <w:r w:rsidRPr="005D6BE9">
        <w:rPr>
          <w:rFonts w:ascii="Arial" w:hAnsi="Arial" w:cs="Arial"/>
          <w:i/>
          <w:iCs/>
          <w:lang w:val="en-GB"/>
        </w:rPr>
        <w:t xml:space="preserve">the Human Trafficking </w:t>
      </w:r>
      <w:r w:rsidR="00182235" w:rsidRPr="005D6BE9">
        <w:rPr>
          <w:rFonts w:ascii="Arial" w:hAnsi="Arial" w:cs="Arial"/>
          <w:i/>
          <w:iCs/>
          <w:lang w:val="en-GB"/>
        </w:rPr>
        <w:t>R</w:t>
      </w:r>
      <w:r w:rsidR="00A529F5" w:rsidRPr="005D6BE9">
        <w:rPr>
          <w:rFonts w:ascii="Arial" w:hAnsi="Arial" w:cs="Arial"/>
          <w:i/>
          <w:iCs/>
          <w:lang w:val="en-GB"/>
        </w:rPr>
        <w:t xml:space="preserve">eport </w:t>
      </w:r>
      <w:r w:rsidRPr="005D6BE9">
        <w:rPr>
          <w:rFonts w:ascii="Arial" w:hAnsi="Arial" w:cs="Arial"/>
          <w:lang w:val="en-GB"/>
        </w:rPr>
        <w:t xml:space="preserve">(JFADT, 2017, 216). </w:t>
      </w:r>
      <w:r w:rsidR="00BC1178" w:rsidRPr="005D6BE9">
        <w:rPr>
          <w:rFonts w:ascii="Arial" w:hAnsi="Arial" w:cs="Arial"/>
          <w:lang w:val="en-GB"/>
        </w:rPr>
        <w:t>This report</w:t>
      </w:r>
      <w:r w:rsidRPr="005D6BE9">
        <w:rPr>
          <w:rFonts w:ascii="Arial" w:hAnsi="Arial" w:cs="Arial"/>
          <w:lang w:val="en-GB"/>
        </w:rPr>
        <w:t xml:space="preserve"> presents the findings of an earlier public </w:t>
      </w:r>
      <w:r w:rsidR="00717A51" w:rsidRPr="005D6BE9">
        <w:rPr>
          <w:rFonts w:ascii="Arial" w:hAnsi="Arial" w:cs="Arial"/>
          <w:lang w:val="en-GB"/>
        </w:rPr>
        <w:t>national</w:t>
      </w:r>
      <w:r w:rsidRPr="005D6BE9">
        <w:rPr>
          <w:rFonts w:ascii="Arial" w:hAnsi="Arial" w:cs="Arial"/>
          <w:lang w:val="en-GB"/>
        </w:rPr>
        <w:t xml:space="preserve"> inquiry into </w:t>
      </w:r>
      <w:r w:rsidRPr="005D6BE9">
        <w:rPr>
          <w:rFonts w:ascii="Arial" w:hAnsi="Arial" w:cs="Arial"/>
          <w:lang w:val="en-GB"/>
        </w:rPr>
        <w:lastRenderedPageBreak/>
        <w:t xml:space="preserve">human trafficking in Australia (PJCLE, 2017). </w:t>
      </w:r>
      <w:r w:rsidR="00A529F5" w:rsidRPr="005D6BE9">
        <w:rPr>
          <w:rFonts w:ascii="Arial" w:hAnsi="Arial" w:cs="Arial"/>
          <w:lang w:val="en-GB"/>
        </w:rPr>
        <w:t xml:space="preserve">Published in 2017, </w:t>
      </w:r>
      <w:r w:rsidR="00A529F5" w:rsidRPr="005D6BE9">
        <w:rPr>
          <w:rFonts w:ascii="Arial" w:hAnsi="Arial" w:cs="Arial"/>
          <w:i/>
          <w:iCs/>
          <w:lang w:val="en-GB"/>
        </w:rPr>
        <w:t>t</w:t>
      </w:r>
      <w:r w:rsidR="00BC1178" w:rsidRPr="005D6BE9">
        <w:rPr>
          <w:rFonts w:ascii="Arial" w:hAnsi="Arial" w:cs="Arial"/>
          <w:i/>
          <w:iCs/>
          <w:lang w:val="en-GB"/>
        </w:rPr>
        <w:t>he Human Trafficking</w:t>
      </w:r>
      <w:r w:rsidRPr="005D6BE9">
        <w:rPr>
          <w:rFonts w:ascii="Arial" w:hAnsi="Arial" w:cs="Arial"/>
          <w:lang w:val="en-GB"/>
        </w:rPr>
        <w:t xml:space="preserve"> </w:t>
      </w:r>
      <w:r w:rsidR="00182235" w:rsidRPr="005D6BE9">
        <w:rPr>
          <w:rFonts w:ascii="Arial" w:hAnsi="Arial" w:cs="Arial"/>
          <w:i/>
          <w:iCs/>
          <w:lang w:val="en-GB"/>
        </w:rPr>
        <w:t>R</w:t>
      </w:r>
      <w:r w:rsidRPr="005D6BE9">
        <w:rPr>
          <w:rFonts w:ascii="Arial" w:hAnsi="Arial" w:cs="Arial"/>
          <w:i/>
          <w:iCs/>
          <w:lang w:val="en-GB"/>
        </w:rPr>
        <w:t>eport</w:t>
      </w:r>
      <w:r w:rsidRPr="005D6BE9">
        <w:rPr>
          <w:rFonts w:ascii="Arial" w:hAnsi="Arial" w:cs="Arial"/>
          <w:lang w:val="en-GB"/>
        </w:rPr>
        <w:t xml:space="preserve"> details the outcomes of </w:t>
      </w:r>
      <w:r w:rsidR="00A84E20" w:rsidRPr="005D6BE9">
        <w:rPr>
          <w:rFonts w:ascii="Arial" w:hAnsi="Arial" w:cs="Arial"/>
          <w:lang w:val="en-GB"/>
        </w:rPr>
        <w:t xml:space="preserve">a public inquiry </w:t>
      </w:r>
      <w:r w:rsidRPr="005D6BE9">
        <w:rPr>
          <w:rFonts w:ascii="Arial" w:hAnsi="Arial" w:cs="Arial"/>
          <w:lang w:val="en-GB"/>
        </w:rPr>
        <w:t xml:space="preserve">which primarily focused on examining the effectiveness of Australia’s visa system and criminal justice responses in preventing human trafficking in Australia. The recommendations </w:t>
      </w:r>
      <w:r w:rsidR="00E03F2C" w:rsidRPr="005D6BE9">
        <w:rPr>
          <w:rFonts w:ascii="Arial" w:hAnsi="Arial" w:cs="Arial"/>
          <w:lang w:val="en-GB"/>
        </w:rPr>
        <w:t xml:space="preserve">from </w:t>
      </w:r>
      <w:r w:rsidR="00E03F2C" w:rsidRPr="005D6BE9">
        <w:rPr>
          <w:rFonts w:ascii="Arial" w:hAnsi="Arial" w:cs="Arial"/>
          <w:i/>
          <w:iCs/>
          <w:lang w:val="en-GB"/>
        </w:rPr>
        <w:t xml:space="preserve">the Human Trafficking Report </w:t>
      </w:r>
      <w:r w:rsidRPr="005D6BE9">
        <w:rPr>
          <w:rFonts w:ascii="Arial" w:hAnsi="Arial" w:cs="Arial"/>
          <w:lang w:val="en-GB"/>
        </w:rPr>
        <w:t xml:space="preserve">endorsed in the </w:t>
      </w:r>
      <w:r w:rsidR="0086495D" w:rsidRPr="005D6BE9">
        <w:rPr>
          <w:rFonts w:ascii="Arial" w:hAnsi="Arial" w:cs="Arial"/>
          <w:i/>
          <w:iCs/>
          <w:lang w:val="en-GB"/>
        </w:rPr>
        <w:t>HPSR</w:t>
      </w:r>
      <w:r w:rsidRPr="005D6BE9">
        <w:rPr>
          <w:rFonts w:ascii="Arial" w:hAnsi="Arial" w:cs="Arial"/>
          <w:lang w:val="en-GB"/>
        </w:rPr>
        <w:t xml:space="preserve"> include:</w:t>
      </w:r>
    </w:p>
    <w:p w14:paraId="0BB0687F" w14:textId="77777777" w:rsidR="009C22AE" w:rsidRPr="005D6BE9" w:rsidRDefault="009C22AE" w:rsidP="005D6BE9">
      <w:pPr>
        <w:spacing w:after="0" w:line="360" w:lineRule="auto"/>
        <w:ind w:firstLine="720"/>
        <w:jc w:val="both"/>
        <w:rPr>
          <w:rFonts w:ascii="Arial" w:hAnsi="Arial" w:cs="Arial"/>
          <w:lang w:val="en-GB"/>
        </w:rPr>
      </w:pPr>
    </w:p>
    <w:p w14:paraId="6EC4DF8D" w14:textId="062A306E" w:rsidR="001A1C55" w:rsidRPr="009C22AE" w:rsidRDefault="001A1C55" w:rsidP="009C22AE">
      <w:pPr>
        <w:spacing w:after="0" w:line="360" w:lineRule="auto"/>
        <w:ind w:left="851" w:right="804"/>
        <w:jc w:val="both"/>
        <w:rPr>
          <w:rFonts w:ascii="Arial" w:hAnsi="Arial" w:cs="Arial"/>
          <w:lang w:val="en-GB"/>
        </w:rPr>
      </w:pPr>
      <w:r w:rsidRPr="009C22AE">
        <w:rPr>
          <w:rFonts w:ascii="Arial" w:hAnsi="Arial" w:cs="Arial"/>
          <w:lang w:val="en-GB"/>
        </w:rPr>
        <w:t>Recommendation 13: The committee recommends that the Commonwealth government commission balanced and constructive research into the prevalence of sex trafficking into and within Australia.</w:t>
      </w:r>
    </w:p>
    <w:p w14:paraId="11C11392" w14:textId="12C71A0C" w:rsidR="001A1C55" w:rsidRPr="009C22AE" w:rsidRDefault="001A1C55" w:rsidP="009C22AE">
      <w:pPr>
        <w:spacing w:after="0" w:line="360" w:lineRule="auto"/>
        <w:ind w:left="851" w:right="804"/>
        <w:jc w:val="both"/>
        <w:rPr>
          <w:rFonts w:ascii="Arial" w:hAnsi="Arial" w:cs="Arial"/>
          <w:lang w:val="en-GB"/>
        </w:rPr>
      </w:pPr>
      <w:r w:rsidRPr="009C22AE">
        <w:rPr>
          <w:rFonts w:ascii="Arial" w:hAnsi="Arial" w:cs="Arial"/>
          <w:lang w:val="en-GB"/>
        </w:rPr>
        <w:t>Recommendation 14: The committee recommends that the Commonwealth government strengthens visa systems to prevent involuntary human trafficking into the sex industry in Australia.</w:t>
      </w:r>
    </w:p>
    <w:p w14:paraId="7B3EF9C6" w14:textId="77777777" w:rsidR="009C22AE" w:rsidRPr="009C22AE" w:rsidRDefault="009C22AE" w:rsidP="009C22AE">
      <w:pPr>
        <w:spacing w:after="0" w:line="360" w:lineRule="auto"/>
        <w:ind w:left="851" w:right="804"/>
        <w:jc w:val="both"/>
        <w:rPr>
          <w:rFonts w:ascii="Arial" w:hAnsi="Arial" w:cs="Arial"/>
          <w:lang w:val="en-GB"/>
        </w:rPr>
      </w:pPr>
    </w:p>
    <w:p w14:paraId="0C8E687D" w14:textId="1B908CDB" w:rsidR="00940320" w:rsidRPr="009C22AE" w:rsidRDefault="001A1C55" w:rsidP="009C22AE">
      <w:pPr>
        <w:spacing w:after="0" w:line="360" w:lineRule="auto"/>
        <w:ind w:left="851" w:right="804"/>
        <w:jc w:val="both"/>
        <w:rPr>
          <w:rFonts w:ascii="Arial" w:hAnsi="Arial" w:cs="Arial"/>
          <w:lang w:val="en-GB"/>
        </w:rPr>
      </w:pPr>
      <w:r w:rsidRPr="009C22AE">
        <w:rPr>
          <w:rFonts w:ascii="Arial" w:hAnsi="Arial" w:cs="Arial"/>
          <w:lang w:val="en-GB"/>
        </w:rPr>
        <w:t>Recommendation 15: The committee recommends that Australian governments support and fund initiatives to inform migrant sex workers about their legal rights and obligations both pre-departure and post-arrival in Australia</w:t>
      </w:r>
    </w:p>
    <w:p w14:paraId="37187885" w14:textId="1070D6EE" w:rsidR="001A1C55" w:rsidRPr="009C22AE" w:rsidRDefault="001A1C55" w:rsidP="009C22AE">
      <w:pPr>
        <w:spacing w:after="0" w:line="360" w:lineRule="auto"/>
        <w:ind w:left="851" w:right="804"/>
        <w:jc w:val="right"/>
        <w:rPr>
          <w:rFonts w:ascii="Arial" w:hAnsi="Arial" w:cs="Arial"/>
          <w:lang w:val="en-GB"/>
        </w:rPr>
      </w:pPr>
      <w:r w:rsidRPr="009C22AE">
        <w:rPr>
          <w:rFonts w:ascii="Arial" w:hAnsi="Arial" w:cs="Arial"/>
          <w:lang w:val="en-GB"/>
        </w:rPr>
        <w:t xml:space="preserve"> (PJCLE, 2017, xiii)</w:t>
      </w:r>
      <w:r w:rsidR="0023280B" w:rsidRPr="009C22AE">
        <w:rPr>
          <w:rFonts w:ascii="Arial" w:hAnsi="Arial" w:cs="Arial"/>
          <w:lang w:val="en-GB"/>
        </w:rPr>
        <w:t>.</w:t>
      </w:r>
    </w:p>
    <w:p w14:paraId="3099AE79" w14:textId="77777777" w:rsidR="009C22AE" w:rsidRDefault="009C22AE" w:rsidP="005D6BE9">
      <w:pPr>
        <w:spacing w:after="0" w:line="360" w:lineRule="auto"/>
        <w:ind w:firstLine="720"/>
        <w:jc w:val="both"/>
        <w:rPr>
          <w:rFonts w:ascii="Arial" w:hAnsi="Arial" w:cs="Arial"/>
          <w:lang w:val="en-GB"/>
        </w:rPr>
      </w:pPr>
    </w:p>
    <w:p w14:paraId="40D44DCC" w14:textId="56BD25DB" w:rsidR="001A1C55" w:rsidRDefault="001A1C55" w:rsidP="005D6BE9">
      <w:pPr>
        <w:spacing w:after="0" w:line="360" w:lineRule="auto"/>
        <w:ind w:firstLine="720"/>
        <w:jc w:val="both"/>
        <w:rPr>
          <w:rFonts w:ascii="Arial" w:hAnsi="Arial" w:cs="Arial"/>
          <w:lang w:val="en-GB"/>
        </w:rPr>
      </w:pPr>
      <w:r w:rsidRPr="005D6BE9">
        <w:rPr>
          <w:rFonts w:ascii="Arial" w:hAnsi="Arial" w:cs="Arial"/>
          <w:lang w:val="en-GB"/>
        </w:rPr>
        <w:t>As stated by Bacchi (2009, 3), ‘looking at what is proposed as a policy intervention will reveal how the issue is been thought about’. With this in mind, the rejection of the sex trafficking definition outlined in the UK version of the Modern Slavery Act</w:t>
      </w:r>
      <w:r w:rsidRPr="005D6BE9">
        <w:rPr>
          <w:rFonts w:ascii="Arial" w:hAnsi="Arial" w:cs="Arial"/>
          <w:i/>
          <w:iCs/>
          <w:lang w:val="en-GB"/>
        </w:rPr>
        <w:t xml:space="preserve"> </w:t>
      </w:r>
      <w:r w:rsidRPr="005D6BE9">
        <w:rPr>
          <w:rFonts w:ascii="Arial" w:hAnsi="Arial" w:cs="Arial"/>
          <w:lang w:val="en-GB"/>
        </w:rPr>
        <w:t xml:space="preserve">2015 indicates that the </w:t>
      </w:r>
      <w:r w:rsidR="0086495D" w:rsidRPr="005D6BE9">
        <w:rPr>
          <w:rFonts w:ascii="Arial" w:hAnsi="Arial" w:cs="Arial"/>
          <w:i/>
          <w:iCs/>
          <w:lang w:val="en-GB"/>
        </w:rPr>
        <w:t>HPSR</w:t>
      </w:r>
      <w:r w:rsidRPr="005D6BE9">
        <w:rPr>
          <w:rFonts w:ascii="Arial" w:hAnsi="Arial" w:cs="Arial"/>
          <w:lang w:val="en-GB"/>
        </w:rPr>
        <w:t xml:space="preserve"> does not view sex trafficking to involve breaches to</w:t>
      </w:r>
      <w:r w:rsidR="00E03F2C" w:rsidRPr="005D6BE9">
        <w:rPr>
          <w:rFonts w:ascii="Arial" w:hAnsi="Arial" w:cs="Arial"/>
          <w:lang w:val="en-GB"/>
        </w:rPr>
        <w:t xml:space="preserve"> Australian</w:t>
      </w:r>
      <w:r w:rsidRPr="005D6BE9">
        <w:rPr>
          <w:rFonts w:ascii="Arial" w:hAnsi="Arial" w:cs="Arial"/>
          <w:lang w:val="en-GB"/>
        </w:rPr>
        <w:t xml:space="preserve"> sex industry regulation. The rejection of the sex industry regulatory models advocated by organisations on the basis that the Report has not </w:t>
      </w:r>
      <w:r w:rsidR="00477D88" w:rsidRPr="005D6BE9">
        <w:rPr>
          <w:rFonts w:ascii="Arial" w:hAnsi="Arial" w:cs="Arial"/>
          <w:lang w:val="en-GB"/>
        </w:rPr>
        <w:t>sufficiently</w:t>
      </w:r>
      <w:r w:rsidR="0027671D" w:rsidRPr="005D6BE9">
        <w:rPr>
          <w:rFonts w:ascii="Arial" w:hAnsi="Arial" w:cs="Arial"/>
          <w:lang w:val="en-GB"/>
        </w:rPr>
        <w:t xml:space="preserve"> </w:t>
      </w:r>
      <w:r w:rsidRPr="005D6BE9">
        <w:rPr>
          <w:rFonts w:ascii="Arial" w:hAnsi="Arial" w:cs="Arial"/>
          <w:lang w:val="en-GB"/>
        </w:rPr>
        <w:t xml:space="preserve">examined the models </w:t>
      </w:r>
      <w:r w:rsidR="0027671D" w:rsidRPr="005D6BE9">
        <w:rPr>
          <w:rFonts w:ascii="Arial" w:hAnsi="Arial" w:cs="Arial"/>
          <w:lang w:val="en-GB"/>
        </w:rPr>
        <w:t xml:space="preserve">to </w:t>
      </w:r>
      <w:r w:rsidRPr="005D6BE9">
        <w:rPr>
          <w:rFonts w:ascii="Arial" w:hAnsi="Arial" w:cs="Arial"/>
          <w:lang w:val="en-GB"/>
        </w:rPr>
        <w:t>make a decision on which is best practice shows that there is ambivalence about the connection between sex industry regulation and sex trafficking. On the other hand, the recommendation to ‘strengthen visa systems to prevent involuntary human trafficking in the sex industry’ (JFADT, 2017, 215) suggest that the problem has something to do with Australia’s visa system. Moreover, the recommendation to ‘fund initiatives to inform migrant sex workers about their legal rights and obligations’ (JFADT, 2017</w:t>
      </w:r>
      <w:r w:rsidR="00182235" w:rsidRPr="005D6BE9">
        <w:rPr>
          <w:rFonts w:ascii="Arial" w:hAnsi="Arial" w:cs="Arial"/>
          <w:lang w:val="en-GB"/>
        </w:rPr>
        <w:t>,</w:t>
      </w:r>
      <w:r w:rsidRPr="005D6BE9">
        <w:rPr>
          <w:rFonts w:ascii="Arial" w:hAnsi="Arial" w:cs="Arial"/>
          <w:lang w:val="en-GB"/>
        </w:rPr>
        <w:t xml:space="preserve"> 215-216) highlight that the problem of sex trafficking has something to do with migrant sex workers themselves.</w:t>
      </w:r>
    </w:p>
    <w:p w14:paraId="3162271D" w14:textId="1D83543C" w:rsidR="004F3871" w:rsidRDefault="004F3871" w:rsidP="005D6BE9">
      <w:pPr>
        <w:spacing w:after="0" w:line="360" w:lineRule="auto"/>
        <w:ind w:firstLine="720"/>
        <w:jc w:val="both"/>
        <w:rPr>
          <w:rFonts w:ascii="Arial" w:hAnsi="Arial" w:cs="Arial"/>
          <w:lang w:val="en-GB"/>
        </w:rPr>
      </w:pPr>
    </w:p>
    <w:p w14:paraId="52434D53" w14:textId="7AFA4696" w:rsidR="004F3871" w:rsidRDefault="004F3871" w:rsidP="005D6BE9">
      <w:pPr>
        <w:spacing w:after="0" w:line="360" w:lineRule="auto"/>
        <w:ind w:firstLine="720"/>
        <w:jc w:val="both"/>
        <w:rPr>
          <w:rFonts w:ascii="Arial" w:hAnsi="Arial" w:cs="Arial"/>
          <w:lang w:val="en-GB"/>
        </w:rPr>
      </w:pPr>
    </w:p>
    <w:p w14:paraId="6E72D5BC" w14:textId="77777777" w:rsidR="004F3871" w:rsidRPr="005D6BE9" w:rsidRDefault="004F3871" w:rsidP="005D6BE9">
      <w:pPr>
        <w:spacing w:after="0" w:line="360" w:lineRule="auto"/>
        <w:ind w:firstLine="720"/>
        <w:jc w:val="both"/>
        <w:rPr>
          <w:rFonts w:ascii="Arial" w:hAnsi="Arial" w:cs="Arial"/>
          <w:lang w:val="en-GB"/>
        </w:rPr>
      </w:pPr>
    </w:p>
    <w:p w14:paraId="2457F433" w14:textId="77777777" w:rsidR="00FC19D5" w:rsidRPr="005D6BE9" w:rsidRDefault="00FC19D5" w:rsidP="005D6BE9">
      <w:pPr>
        <w:spacing w:after="0" w:line="360" w:lineRule="auto"/>
        <w:jc w:val="both"/>
        <w:rPr>
          <w:rFonts w:ascii="Arial" w:hAnsi="Arial" w:cs="Arial"/>
          <w:i/>
          <w:iCs/>
          <w:lang w:val="en-GB"/>
        </w:rPr>
      </w:pPr>
    </w:p>
    <w:p w14:paraId="3C1F29CC" w14:textId="2FCDFBC4" w:rsidR="00182235" w:rsidRDefault="001A1C55" w:rsidP="005D6BE9">
      <w:pPr>
        <w:spacing w:after="0" w:line="360" w:lineRule="auto"/>
        <w:jc w:val="both"/>
        <w:rPr>
          <w:rFonts w:ascii="Arial" w:hAnsi="Arial" w:cs="Arial"/>
          <w:i/>
          <w:iCs/>
          <w:lang w:val="en-GB"/>
        </w:rPr>
      </w:pPr>
      <w:r w:rsidRPr="005D6BE9">
        <w:rPr>
          <w:rFonts w:ascii="Arial" w:hAnsi="Arial" w:cs="Arial"/>
          <w:i/>
          <w:iCs/>
          <w:lang w:val="en-GB"/>
        </w:rPr>
        <w:lastRenderedPageBreak/>
        <w:t xml:space="preserve">The </w:t>
      </w:r>
      <w:r w:rsidR="009C22AE">
        <w:rPr>
          <w:rFonts w:ascii="Arial" w:hAnsi="Arial" w:cs="Arial"/>
          <w:i/>
          <w:iCs/>
          <w:lang w:val="en-GB"/>
        </w:rPr>
        <w:t>C</w:t>
      </w:r>
      <w:r w:rsidR="004722B5" w:rsidRPr="005D6BE9">
        <w:rPr>
          <w:rFonts w:ascii="Arial" w:hAnsi="Arial" w:cs="Arial"/>
          <w:i/>
          <w:iCs/>
          <w:lang w:val="en-GB"/>
        </w:rPr>
        <w:t xml:space="preserve">onstruction and </w:t>
      </w:r>
      <w:r w:rsidR="009C22AE">
        <w:rPr>
          <w:rFonts w:ascii="Arial" w:hAnsi="Arial" w:cs="Arial"/>
          <w:i/>
          <w:iCs/>
          <w:lang w:val="en-GB"/>
        </w:rPr>
        <w:t>D</w:t>
      </w:r>
      <w:r w:rsidR="004722B5" w:rsidRPr="005D6BE9">
        <w:rPr>
          <w:rFonts w:ascii="Arial" w:hAnsi="Arial" w:cs="Arial"/>
          <w:i/>
          <w:iCs/>
          <w:lang w:val="en-GB"/>
        </w:rPr>
        <w:t xml:space="preserve">eployment of the </w:t>
      </w:r>
      <w:r w:rsidR="009C22AE">
        <w:rPr>
          <w:rFonts w:ascii="Arial" w:hAnsi="Arial" w:cs="Arial"/>
          <w:i/>
          <w:iCs/>
          <w:lang w:val="en-GB"/>
        </w:rPr>
        <w:t>M</w:t>
      </w:r>
      <w:r w:rsidRPr="005D6BE9">
        <w:rPr>
          <w:rFonts w:ascii="Arial" w:hAnsi="Arial" w:cs="Arial"/>
          <w:i/>
          <w:iCs/>
          <w:lang w:val="en-GB"/>
        </w:rPr>
        <w:t xml:space="preserve">igrant </w:t>
      </w:r>
      <w:r w:rsidR="009C22AE">
        <w:rPr>
          <w:rFonts w:ascii="Arial" w:hAnsi="Arial" w:cs="Arial"/>
          <w:i/>
          <w:iCs/>
          <w:lang w:val="en-GB"/>
        </w:rPr>
        <w:t>S</w:t>
      </w:r>
      <w:r w:rsidRPr="005D6BE9">
        <w:rPr>
          <w:rFonts w:ascii="Arial" w:hAnsi="Arial" w:cs="Arial"/>
          <w:i/>
          <w:iCs/>
          <w:lang w:val="en-GB"/>
        </w:rPr>
        <w:t xml:space="preserve">ex </w:t>
      </w:r>
      <w:r w:rsidR="009C22AE">
        <w:rPr>
          <w:rFonts w:ascii="Arial" w:hAnsi="Arial" w:cs="Arial"/>
          <w:i/>
          <w:iCs/>
          <w:lang w:val="en-GB"/>
        </w:rPr>
        <w:t>W</w:t>
      </w:r>
      <w:r w:rsidRPr="005D6BE9">
        <w:rPr>
          <w:rFonts w:ascii="Arial" w:hAnsi="Arial" w:cs="Arial"/>
          <w:i/>
          <w:iCs/>
          <w:lang w:val="en-GB"/>
        </w:rPr>
        <w:t>orker</w:t>
      </w:r>
      <w:r w:rsidR="00967F97" w:rsidRPr="005D6BE9">
        <w:rPr>
          <w:rFonts w:ascii="Arial" w:hAnsi="Arial" w:cs="Arial"/>
          <w:i/>
          <w:iCs/>
          <w:lang w:val="en-GB"/>
        </w:rPr>
        <w:t xml:space="preserve"> </w:t>
      </w:r>
      <w:r w:rsidR="009C22AE">
        <w:rPr>
          <w:rFonts w:ascii="Arial" w:hAnsi="Arial" w:cs="Arial"/>
          <w:i/>
          <w:iCs/>
          <w:lang w:val="en-GB"/>
        </w:rPr>
        <w:t>P</w:t>
      </w:r>
      <w:r w:rsidR="00967F97" w:rsidRPr="005D6BE9">
        <w:rPr>
          <w:rFonts w:ascii="Arial" w:hAnsi="Arial" w:cs="Arial"/>
          <w:i/>
          <w:iCs/>
          <w:lang w:val="en-GB"/>
        </w:rPr>
        <w:t xml:space="preserve">eople </w:t>
      </w:r>
      <w:r w:rsidR="009C22AE">
        <w:rPr>
          <w:rFonts w:ascii="Arial" w:hAnsi="Arial" w:cs="Arial"/>
          <w:i/>
          <w:iCs/>
          <w:lang w:val="en-GB"/>
        </w:rPr>
        <w:t>C</w:t>
      </w:r>
      <w:r w:rsidR="00967F97" w:rsidRPr="005D6BE9">
        <w:rPr>
          <w:rFonts w:ascii="Arial" w:hAnsi="Arial" w:cs="Arial"/>
          <w:i/>
          <w:iCs/>
          <w:lang w:val="en-GB"/>
        </w:rPr>
        <w:t xml:space="preserve">ategory. </w:t>
      </w:r>
      <w:r w:rsidR="00E03F2C" w:rsidRPr="005D6BE9">
        <w:rPr>
          <w:rFonts w:ascii="Arial" w:hAnsi="Arial" w:cs="Arial"/>
          <w:i/>
          <w:iCs/>
          <w:lang w:val="en-GB"/>
        </w:rPr>
        <w:t xml:space="preserve"> </w:t>
      </w:r>
    </w:p>
    <w:p w14:paraId="208A92BB" w14:textId="77777777" w:rsidR="009C22AE" w:rsidRPr="005D6BE9" w:rsidRDefault="009C22AE" w:rsidP="005D6BE9">
      <w:pPr>
        <w:spacing w:after="0" w:line="360" w:lineRule="auto"/>
        <w:jc w:val="both"/>
        <w:rPr>
          <w:rFonts w:ascii="Arial" w:hAnsi="Arial" w:cs="Arial"/>
          <w:i/>
          <w:iCs/>
          <w:lang w:val="en-GB"/>
        </w:rPr>
      </w:pPr>
    </w:p>
    <w:p w14:paraId="04063D12" w14:textId="7F2BE44D" w:rsidR="001A1C55" w:rsidRDefault="001A1C55" w:rsidP="005D6BE9">
      <w:pPr>
        <w:spacing w:after="0" w:line="360" w:lineRule="auto"/>
        <w:jc w:val="both"/>
        <w:rPr>
          <w:rFonts w:ascii="Arial" w:hAnsi="Arial" w:cs="Arial"/>
          <w:lang w:val="en-GB"/>
        </w:rPr>
      </w:pPr>
      <w:r w:rsidRPr="005D6BE9">
        <w:rPr>
          <w:rFonts w:ascii="Arial" w:hAnsi="Arial" w:cs="Arial"/>
          <w:lang w:val="en-GB"/>
        </w:rPr>
        <w:t xml:space="preserve">The WPR approach takes the position that people categories are </w:t>
      </w:r>
      <w:r w:rsidR="00135E33" w:rsidRPr="005D6BE9">
        <w:rPr>
          <w:rFonts w:ascii="Arial" w:hAnsi="Arial" w:cs="Arial"/>
          <w:lang w:val="en-GB"/>
        </w:rPr>
        <w:t>constructed</w:t>
      </w:r>
      <w:r w:rsidRPr="005D6BE9">
        <w:rPr>
          <w:rFonts w:ascii="Arial" w:hAnsi="Arial" w:cs="Arial"/>
          <w:lang w:val="en-GB"/>
        </w:rPr>
        <w:t xml:space="preserve"> and encourages the interrogation of the categories that are deployed in policy documents. In this light, the category migrant sex worker needs to be considered as a socially constructed category which is ‘determined by social, cultural and historical’ forces (Bacchi, 2009, 58). As Bacchi </w:t>
      </w:r>
      <w:r w:rsidR="00196E6B" w:rsidRPr="005D6BE9">
        <w:rPr>
          <w:rFonts w:ascii="Arial" w:hAnsi="Arial" w:cs="Arial"/>
          <w:lang w:val="en-GB"/>
        </w:rPr>
        <w:t>argues further,</w:t>
      </w:r>
      <w:r w:rsidRPr="005D6BE9">
        <w:rPr>
          <w:rFonts w:ascii="Arial" w:hAnsi="Arial" w:cs="Arial"/>
          <w:lang w:val="en-GB"/>
        </w:rPr>
        <w:t xml:space="preserve"> that people categories are central to governing processes, it is necessary to also reflect on the meaning and purpose of the category migrant sex worker within the </w:t>
      </w:r>
      <w:r w:rsidR="0086495D" w:rsidRPr="005D6BE9">
        <w:rPr>
          <w:rFonts w:ascii="Arial" w:hAnsi="Arial" w:cs="Arial"/>
          <w:i/>
          <w:iCs/>
          <w:lang w:val="en-GB"/>
        </w:rPr>
        <w:t>HPSR</w:t>
      </w:r>
      <w:r w:rsidRPr="005D6BE9">
        <w:rPr>
          <w:rFonts w:ascii="Arial" w:hAnsi="Arial" w:cs="Arial"/>
          <w:lang w:val="en-GB"/>
        </w:rPr>
        <w:t xml:space="preserve"> by interrogating the ‘underlying assumptions and preconceptions’ underpinning the category (Bacchi, 2009, 9). </w:t>
      </w:r>
    </w:p>
    <w:p w14:paraId="51E24C0B" w14:textId="77777777" w:rsidR="009C22AE" w:rsidRPr="005D6BE9" w:rsidRDefault="009C22AE" w:rsidP="005D6BE9">
      <w:pPr>
        <w:spacing w:after="0" w:line="360" w:lineRule="auto"/>
        <w:jc w:val="both"/>
        <w:rPr>
          <w:rFonts w:ascii="Arial" w:hAnsi="Arial" w:cs="Arial"/>
          <w:lang w:val="en-GB"/>
        </w:rPr>
      </w:pPr>
    </w:p>
    <w:p w14:paraId="7E619AB3" w14:textId="718C1563" w:rsidR="001A1C55" w:rsidRDefault="001A1C55" w:rsidP="005D6BE9">
      <w:pPr>
        <w:spacing w:after="0" w:line="360" w:lineRule="auto"/>
        <w:ind w:firstLine="720"/>
        <w:jc w:val="both"/>
        <w:rPr>
          <w:rFonts w:ascii="Arial" w:hAnsi="Arial" w:cs="Arial"/>
          <w:lang w:val="en-GB"/>
        </w:rPr>
      </w:pPr>
      <w:r w:rsidRPr="005D6BE9">
        <w:rPr>
          <w:rFonts w:ascii="Arial" w:hAnsi="Arial" w:cs="Arial"/>
          <w:lang w:val="en-GB"/>
        </w:rPr>
        <w:t xml:space="preserve">Migrant sex workers emerge as a significant category within the Report’s construction of sex trafficking. This is highlighted through the repeated use of the </w:t>
      </w:r>
      <w:r w:rsidR="007B2864" w:rsidRPr="005D6BE9">
        <w:rPr>
          <w:rFonts w:ascii="Arial" w:hAnsi="Arial" w:cs="Arial"/>
          <w:lang w:val="en-GB"/>
        </w:rPr>
        <w:t>term</w:t>
      </w:r>
      <w:r w:rsidRPr="005D6BE9">
        <w:rPr>
          <w:rFonts w:ascii="Arial" w:hAnsi="Arial" w:cs="Arial"/>
          <w:lang w:val="en-GB"/>
        </w:rPr>
        <w:t xml:space="preserve"> and its derivatives, such as references to ‘migration sex worker’. Th</w:t>
      </w:r>
      <w:r w:rsidR="007B2864" w:rsidRPr="005D6BE9">
        <w:rPr>
          <w:rFonts w:ascii="Arial" w:hAnsi="Arial" w:cs="Arial"/>
          <w:lang w:val="en-GB"/>
        </w:rPr>
        <w:t>e ‘Sex Trafficking’</w:t>
      </w:r>
      <w:r w:rsidRPr="005D6BE9">
        <w:rPr>
          <w:rFonts w:ascii="Arial" w:hAnsi="Arial" w:cs="Arial"/>
          <w:lang w:val="en-GB"/>
        </w:rPr>
        <w:t xml:space="preserve"> subchapter also explicitly discusses the human trafficking risks to migrant sex workers as a result of various sex industry regulatory models.</w:t>
      </w:r>
    </w:p>
    <w:p w14:paraId="261D7D8A" w14:textId="77777777" w:rsidR="009C22AE" w:rsidRPr="005D6BE9" w:rsidRDefault="009C22AE" w:rsidP="005D6BE9">
      <w:pPr>
        <w:spacing w:after="0" w:line="360" w:lineRule="auto"/>
        <w:ind w:firstLine="720"/>
        <w:jc w:val="both"/>
        <w:rPr>
          <w:rFonts w:ascii="Arial" w:hAnsi="Arial" w:cs="Arial"/>
          <w:lang w:val="en-GB"/>
        </w:rPr>
      </w:pPr>
    </w:p>
    <w:p w14:paraId="11E8521C" w14:textId="5465D34D" w:rsidR="001A1C55" w:rsidRDefault="001A1C55" w:rsidP="005D6BE9">
      <w:pPr>
        <w:spacing w:after="0" w:line="360" w:lineRule="auto"/>
        <w:ind w:firstLine="720"/>
        <w:jc w:val="both"/>
        <w:rPr>
          <w:rFonts w:ascii="Arial" w:hAnsi="Arial" w:cs="Arial"/>
          <w:lang w:val="en-GB"/>
        </w:rPr>
      </w:pPr>
      <w:r w:rsidRPr="005D6BE9">
        <w:rPr>
          <w:rFonts w:ascii="Arial" w:hAnsi="Arial" w:cs="Arial"/>
          <w:lang w:val="en-GB"/>
        </w:rPr>
        <w:t xml:space="preserve">Although there have been many </w:t>
      </w:r>
      <w:r w:rsidR="00D23EE8" w:rsidRPr="005D6BE9">
        <w:rPr>
          <w:rFonts w:ascii="Arial" w:hAnsi="Arial" w:cs="Arial"/>
          <w:lang w:val="en-GB"/>
        </w:rPr>
        <w:t>national</w:t>
      </w:r>
      <w:r w:rsidRPr="005D6BE9">
        <w:rPr>
          <w:rFonts w:ascii="Arial" w:hAnsi="Arial" w:cs="Arial"/>
          <w:lang w:val="en-GB"/>
        </w:rPr>
        <w:t xml:space="preserve"> inquiries into human trafficking that exclusively investigated exploitation in the sex industry, the category migrant sex worker was not always explicitly referred to as the target of the policy document. </w:t>
      </w:r>
      <w:r w:rsidR="003159B4" w:rsidRPr="005D6BE9">
        <w:rPr>
          <w:rFonts w:ascii="Arial" w:hAnsi="Arial" w:cs="Arial"/>
          <w:lang w:val="en-GB"/>
        </w:rPr>
        <w:t>As highlighted above, w</w:t>
      </w:r>
      <w:r w:rsidRPr="005D6BE9">
        <w:rPr>
          <w:rFonts w:ascii="Arial" w:hAnsi="Arial" w:cs="Arial"/>
          <w:lang w:val="en-GB"/>
        </w:rPr>
        <w:t xml:space="preserve">e first see the use of the category </w:t>
      </w:r>
      <w:r w:rsidR="00196E6B" w:rsidRPr="005D6BE9">
        <w:rPr>
          <w:rFonts w:ascii="Arial" w:hAnsi="Arial" w:cs="Arial"/>
          <w:lang w:val="en-GB"/>
        </w:rPr>
        <w:t>‘</w:t>
      </w:r>
      <w:r w:rsidRPr="005D6BE9">
        <w:rPr>
          <w:rFonts w:ascii="Arial" w:hAnsi="Arial" w:cs="Arial"/>
          <w:lang w:val="en-GB"/>
        </w:rPr>
        <w:t>migrant sex worker</w:t>
      </w:r>
      <w:r w:rsidR="00196E6B" w:rsidRPr="005D6BE9">
        <w:rPr>
          <w:rFonts w:ascii="Arial" w:hAnsi="Arial" w:cs="Arial"/>
          <w:lang w:val="en-GB"/>
        </w:rPr>
        <w:t>’</w:t>
      </w:r>
      <w:r w:rsidRPr="005D6BE9">
        <w:rPr>
          <w:rFonts w:ascii="Arial" w:hAnsi="Arial" w:cs="Arial"/>
          <w:lang w:val="en-GB"/>
        </w:rPr>
        <w:t xml:space="preserve"> in </w:t>
      </w:r>
      <w:r w:rsidRPr="005D6BE9">
        <w:rPr>
          <w:rFonts w:ascii="Arial" w:hAnsi="Arial" w:cs="Arial"/>
          <w:i/>
          <w:iCs/>
          <w:lang w:val="en-GB"/>
        </w:rPr>
        <w:t>the Crimes Amendment Report</w:t>
      </w:r>
      <w:r w:rsidRPr="005D6BE9">
        <w:rPr>
          <w:rFonts w:ascii="Arial" w:hAnsi="Arial" w:cs="Arial"/>
          <w:lang w:val="en-GB"/>
        </w:rPr>
        <w:t xml:space="preserve"> (LCALC, 2012)</w:t>
      </w:r>
      <w:r w:rsidR="003159B4" w:rsidRPr="005D6BE9">
        <w:rPr>
          <w:rFonts w:ascii="Arial" w:hAnsi="Arial" w:cs="Arial"/>
          <w:lang w:val="en-GB"/>
        </w:rPr>
        <w:t>, a significant inquiry report which de-sexualised key human trafficking legislation</w:t>
      </w:r>
      <w:r w:rsidR="0040550D" w:rsidRPr="005D6BE9">
        <w:rPr>
          <w:rFonts w:ascii="Arial" w:hAnsi="Arial" w:cs="Arial"/>
          <w:lang w:val="en-GB"/>
        </w:rPr>
        <w:t xml:space="preserve"> to ensure </w:t>
      </w:r>
      <w:r w:rsidR="00651384" w:rsidRPr="005D6BE9">
        <w:rPr>
          <w:rFonts w:ascii="Arial" w:hAnsi="Arial" w:cs="Arial"/>
          <w:lang w:val="en-GB"/>
        </w:rPr>
        <w:t xml:space="preserve">the </w:t>
      </w:r>
      <w:r w:rsidRPr="005D6BE9">
        <w:rPr>
          <w:rFonts w:ascii="Arial" w:hAnsi="Arial" w:cs="Arial"/>
          <w:lang w:val="en-GB"/>
        </w:rPr>
        <w:t>laws</w:t>
      </w:r>
      <w:r w:rsidR="00A34542" w:rsidRPr="005D6BE9">
        <w:rPr>
          <w:rFonts w:ascii="Arial" w:hAnsi="Arial" w:cs="Arial"/>
          <w:lang w:val="en-GB"/>
        </w:rPr>
        <w:t xml:space="preserve"> could</w:t>
      </w:r>
      <w:r w:rsidRPr="005D6BE9">
        <w:rPr>
          <w:rFonts w:ascii="Arial" w:hAnsi="Arial" w:cs="Arial"/>
          <w:lang w:val="en-GB"/>
        </w:rPr>
        <w:t xml:space="preserve"> be applied to non-sexual forms of servitude and all forms of deceptive recruiting</w:t>
      </w:r>
      <w:r w:rsidR="00307C4E" w:rsidRPr="005D6BE9">
        <w:rPr>
          <w:rFonts w:ascii="Arial" w:hAnsi="Arial" w:cs="Arial"/>
          <w:lang w:val="en-GB"/>
        </w:rPr>
        <w:t xml:space="preserve"> </w:t>
      </w:r>
      <w:r w:rsidRPr="005D6BE9">
        <w:rPr>
          <w:rFonts w:ascii="Arial" w:hAnsi="Arial" w:cs="Arial"/>
          <w:lang w:val="en-GB"/>
        </w:rPr>
        <w:t xml:space="preserve">(The Parliament of the Commonwealth of Australia, 2012). Since the broadening of the servitude and deceptive recruiting offences, many </w:t>
      </w:r>
      <w:r w:rsidR="00C73450" w:rsidRPr="005D6BE9">
        <w:rPr>
          <w:rFonts w:ascii="Arial" w:hAnsi="Arial" w:cs="Arial"/>
          <w:lang w:val="en-GB"/>
        </w:rPr>
        <w:t>human trafficking</w:t>
      </w:r>
      <w:r w:rsidRPr="005D6BE9">
        <w:rPr>
          <w:rFonts w:ascii="Arial" w:hAnsi="Arial" w:cs="Arial"/>
          <w:lang w:val="en-GB"/>
        </w:rPr>
        <w:t xml:space="preserve"> referrals have been made to the A</w:t>
      </w:r>
      <w:r w:rsidR="00092059" w:rsidRPr="005D6BE9">
        <w:rPr>
          <w:rFonts w:ascii="Arial" w:hAnsi="Arial" w:cs="Arial"/>
          <w:lang w:val="en-GB"/>
        </w:rPr>
        <w:t>ustralian Federal Police (AFP)</w:t>
      </w:r>
      <w:r w:rsidRPr="005D6BE9">
        <w:rPr>
          <w:rFonts w:ascii="Arial" w:hAnsi="Arial" w:cs="Arial"/>
          <w:lang w:val="en-GB"/>
        </w:rPr>
        <w:t xml:space="preserve"> that involved cases of exploitation outside of the sex industry, such as in the agricultural and hospitality industries (Australian Government, 2016).</w:t>
      </w:r>
    </w:p>
    <w:p w14:paraId="61680557" w14:textId="77777777" w:rsidR="009C22AE" w:rsidRPr="005D6BE9" w:rsidRDefault="009C22AE" w:rsidP="005D6BE9">
      <w:pPr>
        <w:spacing w:after="0" w:line="360" w:lineRule="auto"/>
        <w:ind w:firstLine="720"/>
        <w:jc w:val="both"/>
        <w:rPr>
          <w:rFonts w:ascii="Arial" w:hAnsi="Arial" w:cs="Arial"/>
          <w:lang w:val="en-GB"/>
        </w:rPr>
      </w:pPr>
    </w:p>
    <w:p w14:paraId="18A2C60E" w14:textId="6EA1C8AC" w:rsidR="001A1C55" w:rsidRDefault="00307C4E" w:rsidP="005D6BE9">
      <w:pPr>
        <w:spacing w:after="0" w:line="360" w:lineRule="auto"/>
        <w:ind w:firstLine="720"/>
        <w:jc w:val="both"/>
        <w:rPr>
          <w:rFonts w:ascii="Arial" w:hAnsi="Arial" w:cs="Arial"/>
          <w:lang w:val="en-GB"/>
        </w:rPr>
      </w:pPr>
      <w:r w:rsidRPr="005D6BE9">
        <w:rPr>
          <w:rFonts w:ascii="Arial" w:hAnsi="Arial" w:cs="Arial"/>
          <w:lang w:val="en-GB"/>
        </w:rPr>
        <w:t xml:space="preserve">With the introduction of the people category </w:t>
      </w:r>
      <w:r w:rsidR="00196E6B" w:rsidRPr="005D6BE9">
        <w:rPr>
          <w:rFonts w:ascii="Arial" w:hAnsi="Arial" w:cs="Arial"/>
          <w:lang w:val="en-GB"/>
        </w:rPr>
        <w:t>‘</w:t>
      </w:r>
      <w:r w:rsidRPr="005D6BE9">
        <w:rPr>
          <w:rFonts w:ascii="Arial" w:hAnsi="Arial" w:cs="Arial"/>
          <w:lang w:val="en-GB"/>
        </w:rPr>
        <w:t>migrant sex worker</w:t>
      </w:r>
      <w:r w:rsidR="00196E6B" w:rsidRPr="005D6BE9">
        <w:rPr>
          <w:rFonts w:ascii="Arial" w:hAnsi="Arial" w:cs="Arial"/>
          <w:lang w:val="en-GB"/>
        </w:rPr>
        <w:t>’</w:t>
      </w:r>
      <w:r w:rsidR="004618C3" w:rsidRPr="005D6BE9">
        <w:rPr>
          <w:rFonts w:ascii="Arial" w:hAnsi="Arial" w:cs="Arial"/>
          <w:lang w:val="en-GB"/>
        </w:rPr>
        <w:t xml:space="preserve">, </w:t>
      </w:r>
      <w:r w:rsidR="004618C3" w:rsidRPr="005D6BE9">
        <w:rPr>
          <w:rFonts w:ascii="Arial" w:hAnsi="Arial" w:cs="Arial"/>
          <w:i/>
          <w:iCs/>
          <w:lang w:val="en-GB"/>
        </w:rPr>
        <w:t>t</w:t>
      </w:r>
      <w:r w:rsidR="001A1C55" w:rsidRPr="005D6BE9">
        <w:rPr>
          <w:rFonts w:ascii="Arial" w:hAnsi="Arial" w:cs="Arial"/>
          <w:i/>
          <w:iCs/>
          <w:lang w:val="en-GB"/>
        </w:rPr>
        <w:t>he Crimes Amendment Report</w:t>
      </w:r>
      <w:r w:rsidR="001A1C55" w:rsidRPr="005D6BE9">
        <w:rPr>
          <w:rFonts w:ascii="Arial" w:hAnsi="Arial" w:cs="Arial"/>
          <w:lang w:val="en-GB"/>
        </w:rPr>
        <w:t xml:space="preserve"> characteri</w:t>
      </w:r>
      <w:r w:rsidR="00AC0A87" w:rsidRPr="005D6BE9">
        <w:rPr>
          <w:rFonts w:ascii="Arial" w:hAnsi="Arial" w:cs="Arial"/>
          <w:lang w:val="en-GB"/>
        </w:rPr>
        <w:t>s</w:t>
      </w:r>
      <w:r w:rsidR="001A1C55" w:rsidRPr="005D6BE9">
        <w:rPr>
          <w:rFonts w:ascii="Arial" w:hAnsi="Arial" w:cs="Arial"/>
          <w:lang w:val="en-GB"/>
        </w:rPr>
        <w:t>e</w:t>
      </w:r>
      <w:r w:rsidR="000138BD" w:rsidRPr="005D6BE9">
        <w:rPr>
          <w:rFonts w:ascii="Arial" w:hAnsi="Arial" w:cs="Arial"/>
          <w:lang w:val="en-GB"/>
        </w:rPr>
        <w:t>d</w:t>
      </w:r>
      <w:r w:rsidR="001A1C55" w:rsidRPr="005D6BE9">
        <w:rPr>
          <w:rFonts w:ascii="Arial" w:hAnsi="Arial" w:cs="Arial"/>
          <w:lang w:val="en-GB"/>
        </w:rPr>
        <w:t xml:space="preserve"> migrant sex workers as willing sex workers who have travelled to Australia to work in the sex industry and who are different to victims (LCALC, 2012). </w:t>
      </w:r>
      <w:r w:rsidR="00041682" w:rsidRPr="005D6BE9">
        <w:rPr>
          <w:rFonts w:ascii="Arial" w:hAnsi="Arial" w:cs="Arial"/>
          <w:lang w:val="en-GB"/>
        </w:rPr>
        <w:t>For example, the Attorney General is quoted in the Report asserting that Australia’s human trafficking response ‘does not affect the rights of individuals to consent to work in any industry in ordinary circumstances, including the sex industry’ (LCALC, 2012, 21).</w:t>
      </w:r>
      <w:r w:rsidR="00C179FC" w:rsidRPr="005D6BE9">
        <w:rPr>
          <w:rFonts w:ascii="Arial" w:hAnsi="Arial" w:cs="Arial"/>
          <w:lang w:val="en-GB"/>
        </w:rPr>
        <w:t xml:space="preserve"> </w:t>
      </w:r>
      <w:r w:rsidR="001A1C55" w:rsidRPr="005D6BE9">
        <w:rPr>
          <w:rFonts w:ascii="Arial" w:hAnsi="Arial" w:cs="Arial"/>
          <w:lang w:val="en-GB"/>
        </w:rPr>
        <w:t xml:space="preserve">By distinguishing the category </w:t>
      </w:r>
      <w:r w:rsidR="00196E6B" w:rsidRPr="005D6BE9">
        <w:rPr>
          <w:rFonts w:ascii="Arial" w:hAnsi="Arial" w:cs="Arial"/>
          <w:lang w:val="en-GB"/>
        </w:rPr>
        <w:t>‘</w:t>
      </w:r>
      <w:r w:rsidR="001A1C55" w:rsidRPr="005D6BE9">
        <w:rPr>
          <w:rFonts w:ascii="Arial" w:hAnsi="Arial" w:cs="Arial"/>
          <w:lang w:val="en-GB"/>
        </w:rPr>
        <w:t>migrant sex worker</w:t>
      </w:r>
      <w:r w:rsidR="00196E6B" w:rsidRPr="005D6BE9">
        <w:rPr>
          <w:rFonts w:ascii="Arial" w:hAnsi="Arial" w:cs="Arial"/>
          <w:lang w:val="en-GB"/>
        </w:rPr>
        <w:t>’</w:t>
      </w:r>
      <w:r w:rsidR="001A1C55" w:rsidRPr="005D6BE9">
        <w:rPr>
          <w:rFonts w:ascii="Arial" w:hAnsi="Arial" w:cs="Arial"/>
          <w:lang w:val="en-GB"/>
        </w:rPr>
        <w:t xml:space="preserve"> from the category victim, the report is enacting </w:t>
      </w:r>
      <w:r w:rsidR="001A1C55" w:rsidRPr="005D6BE9">
        <w:rPr>
          <w:rFonts w:ascii="Arial" w:hAnsi="Arial" w:cs="Arial"/>
          <w:lang w:val="en-GB"/>
        </w:rPr>
        <w:lastRenderedPageBreak/>
        <w:t>what Foucault (1982) describes as a ‘dividing practice’ in which they are advocating for migrant sex workers to be perceived and treated differently to victims of trafficking. As highlighted earlier, a ‘dividing practice’ is a process whereby groups are constructed as different, in opposition and unequal to each other.</w:t>
      </w:r>
    </w:p>
    <w:p w14:paraId="4F9C682B" w14:textId="77777777" w:rsidR="009C22AE" w:rsidRPr="005D6BE9" w:rsidRDefault="009C22AE" w:rsidP="005D6BE9">
      <w:pPr>
        <w:spacing w:after="0" w:line="360" w:lineRule="auto"/>
        <w:ind w:firstLine="720"/>
        <w:jc w:val="both"/>
        <w:rPr>
          <w:rFonts w:ascii="Arial" w:hAnsi="Arial" w:cs="Arial"/>
          <w:lang w:val="en-GB"/>
        </w:rPr>
      </w:pPr>
    </w:p>
    <w:p w14:paraId="545F0208" w14:textId="24CAFD8E" w:rsidR="004618C3" w:rsidRPr="005D6BE9" w:rsidRDefault="001A1C55" w:rsidP="005D6BE9">
      <w:pPr>
        <w:spacing w:after="0" w:line="360" w:lineRule="auto"/>
        <w:ind w:firstLine="720"/>
        <w:jc w:val="both"/>
        <w:rPr>
          <w:rFonts w:ascii="Arial" w:hAnsi="Arial" w:cs="Arial"/>
          <w:i/>
          <w:iCs/>
          <w:lang w:val="en-GB"/>
        </w:rPr>
      </w:pPr>
      <w:r w:rsidRPr="005D6BE9">
        <w:rPr>
          <w:rFonts w:ascii="Arial" w:hAnsi="Arial" w:cs="Arial"/>
          <w:lang w:val="en-GB"/>
        </w:rPr>
        <w:t xml:space="preserve">The use of the category </w:t>
      </w:r>
      <w:r w:rsidR="00196E6B" w:rsidRPr="005D6BE9">
        <w:rPr>
          <w:rFonts w:ascii="Arial" w:hAnsi="Arial" w:cs="Arial"/>
          <w:lang w:val="en-GB"/>
        </w:rPr>
        <w:t>‘</w:t>
      </w:r>
      <w:r w:rsidRPr="005D6BE9">
        <w:rPr>
          <w:rFonts w:ascii="Arial" w:hAnsi="Arial" w:cs="Arial"/>
          <w:lang w:val="en-GB"/>
        </w:rPr>
        <w:t>migrant sex worker</w:t>
      </w:r>
      <w:r w:rsidR="00196E6B" w:rsidRPr="005D6BE9">
        <w:rPr>
          <w:rFonts w:ascii="Arial" w:hAnsi="Arial" w:cs="Arial"/>
          <w:lang w:val="en-GB"/>
        </w:rPr>
        <w:t>’</w:t>
      </w:r>
      <w:r w:rsidRPr="005D6BE9">
        <w:rPr>
          <w:rFonts w:ascii="Arial" w:hAnsi="Arial" w:cs="Arial"/>
          <w:lang w:val="en-GB"/>
        </w:rPr>
        <w:t xml:space="preserve"> in the </w:t>
      </w:r>
      <w:r w:rsidR="0086495D" w:rsidRPr="005D6BE9">
        <w:rPr>
          <w:rFonts w:ascii="Arial" w:hAnsi="Arial" w:cs="Arial"/>
          <w:i/>
          <w:iCs/>
          <w:lang w:val="en-GB"/>
        </w:rPr>
        <w:t>HPSR</w:t>
      </w:r>
      <w:r w:rsidRPr="005D6BE9">
        <w:rPr>
          <w:rFonts w:ascii="Arial" w:hAnsi="Arial" w:cs="Arial"/>
          <w:lang w:val="en-GB"/>
        </w:rPr>
        <w:t xml:space="preserve"> must be viewed in light of historical changes to </w:t>
      </w:r>
      <w:r w:rsidR="004618C3" w:rsidRPr="005D6BE9">
        <w:rPr>
          <w:rFonts w:ascii="Arial" w:hAnsi="Arial" w:cs="Arial"/>
          <w:lang w:val="en-GB"/>
        </w:rPr>
        <w:t xml:space="preserve">Australian human </w:t>
      </w:r>
      <w:r w:rsidRPr="005D6BE9">
        <w:rPr>
          <w:rFonts w:ascii="Arial" w:hAnsi="Arial" w:cs="Arial"/>
          <w:lang w:val="en-GB"/>
        </w:rPr>
        <w:t>trafficking law</w:t>
      </w:r>
      <w:r w:rsidR="004618C3" w:rsidRPr="005D6BE9">
        <w:rPr>
          <w:rFonts w:ascii="Arial" w:hAnsi="Arial" w:cs="Arial"/>
          <w:lang w:val="en-GB"/>
        </w:rPr>
        <w:t>s</w:t>
      </w:r>
      <w:r w:rsidRPr="005D6BE9">
        <w:rPr>
          <w:rFonts w:ascii="Arial" w:hAnsi="Arial" w:cs="Arial"/>
          <w:lang w:val="en-GB"/>
        </w:rPr>
        <w:t xml:space="preserve"> which de</w:t>
      </w:r>
      <w:r w:rsidR="00AC0A87" w:rsidRPr="005D6BE9">
        <w:rPr>
          <w:rFonts w:ascii="Arial" w:hAnsi="Arial" w:cs="Arial"/>
          <w:lang w:val="en-GB"/>
        </w:rPr>
        <w:t>-</w:t>
      </w:r>
      <w:r w:rsidRPr="005D6BE9">
        <w:rPr>
          <w:rFonts w:ascii="Arial" w:hAnsi="Arial" w:cs="Arial"/>
          <w:lang w:val="en-GB"/>
        </w:rPr>
        <w:t>stabili</w:t>
      </w:r>
      <w:r w:rsidR="00AC0A87" w:rsidRPr="005D6BE9">
        <w:rPr>
          <w:rFonts w:ascii="Arial" w:hAnsi="Arial" w:cs="Arial"/>
          <w:lang w:val="en-GB"/>
        </w:rPr>
        <w:t>s</w:t>
      </w:r>
      <w:r w:rsidRPr="005D6BE9">
        <w:rPr>
          <w:rFonts w:ascii="Arial" w:hAnsi="Arial" w:cs="Arial"/>
          <w:lang w:val="en-GB"/>
        </w:rPr>
        <w:t xml:space="preserve">ed long held beliefs about the relationship between trafficking, sex workers, and the sex industry. </w:t>
      </w:r>
      <w:r w:rsidR="005E025B" w:rsidRPr="005D6BE9">
        <w:rPr>
          <w:rFonts w:ascii="Arial" w:hAnsi="Arial" w:cs="Arial"/>
          <w:lang w:val="en-GB"/>
        </w:rPr>
        <w:t xml:space="preserve">The </w:t>
      </w:r>
      <w:r w:rsidR="0086495D" w:rsidRPr="005D6BE9">
        <w:rPr>
          <w:rFonts w:ascii="Arial" w:hAnsi="Arial" w:cs="Arial"/>
          <w:i/>
          <w:iCs/>
          <w:lang w:val="en-GB"/>
        </w:rPr>
        <w:t>HPSR</w:t>
      </w:r>
      <w:r w:rsidR="005E025B" w:rsidRPr="005D6BE9">
        <w:rPr>
          <w:rFonts w:ascii="Arial" w:hAnsi="Arial" w:cs="Arial"/>
          <w:lang w:val="en-GB"/>
        </w:rPr>
        <w:t xml:space="preserve">’s differentiation of the </w:t>
      </w:r>
      <w:r w:rsidR="00282F06" w:rsidRPr="005D6BE9">
        <w:rPr>
          <w:rFonts w:ascii="Arial" w:hAnsi="Arial" w:cs="Arial"/>
          <w:lang w:val="en-GB"/>
        </w:rPr>
        <w:t xml:space="preserve">category migrant sex worker from victim of trafficking is seen </w:t>
      </w:r>
      <w:r w:rsidR="005E025B" w:rsidRPr="005D6BE9">
        <w:rPr>
          <w:rFonts w:ascii="Arial" w:hAnsi="Arial" w:cs="Arial"/>
          <w:lang w:val="en-GB"/>
        </w:rPr>
        <w:t>when the Report recommends different proposals targeting</w:t>
      </w:r>
      <w:r w:rsidR="00282F06" w:rsidRPr="005D6BE9">
        <w:rPr>
          <w:rFonts w:ascii="Arial" w:hAnsi="Arial" w:cs="Arial"/>
          <w:lang w:val="en-GB"/>
        </w:rPr>
        <w:t xml:space="preserve"> these categories</w:t>
      </w:r>
      <w:r w:rsidR="005E025B" w:rsidRPr="005D6BE9">
        <w:rPr>
          <w:rFonts w:ascii="Arial" w:hAnsi="Arial" w:cs="Arial"/>
          <w:lang w:val="en-GB"/>
        </w:rPr>
        <w:t>. For example, the Report’s endorsement of the recommendation to ‘strengthen visa systems to prevent involuntary human trafficking’ appear to be targeting victims whereas the recommendation to ‘fund initiatives to inform migrant sex workers about their rights and obligations’ is clearly targeting migrant sex workers.</w:t>
      </w:r>
      <w:r w:rsidR="004C4316" w:rsidRPr="005D6BE9">
        <w:rPr>
          <w:rFonts w:ascii="Arial" w:hAnsi="Arial" w:cs="Arial"/>
          <w:lang w:val="en-GB"/>
        </w:rPr>
        <w:t xml:space="preserve"> In this light, the application of the WPR approach found that that the </w:t>
      </w:r>
      <w:r w:rsidR="0086495D" w:rsidRPr="005D6BE9">
        <w:rPr>
          <w:rFonts w:ascii="Arial" w:hAnsi="Arial" w:cs="Arial"/>
          <w:i/>
          <w:iCs/>
          <w:lang w:val="en-GB"/>
        </w:rPr>
        <w:t>HPSR</w:t>
      </w:r>
      <w:r w:rsidR="004C4316" w:rsidRPr="005D6BE9">
        <w:rPr>
          <w:rFonts w:ascii="Arial" w:hAnsi="Arial" w:cs="Arial"/>
          <w:lang w:val="en-GB"/>
        </w:rPr>
        <w:t xml:space="preserve"> adopts a similar characteri</w:t>
      </w:r>
      <w:r w:rsidR="00AC0A87" w:rsidRPr="005D6BE9">
        <w:rPr>
          <w:rFonts w:ascii="Arial" w:hAnsi="Arial" w:cs="Arial"/>
          <w:lang w:val="en-GB"/>
        </w:rPr>
        <w:t>s</w:t>
      </w:r>
      <w:r w:rsidR="004C4316" w:rsidRPr="005D6BE9">
        <w:rPr>
          <w:rFonts w:ascii="Arial" w:hAnsi="Arial" w:cs="Arial"/>
          <w:lang w:val="en-GB"/>
        </w:rPr>
        <w:t xml:space="preserve">ation of migrant sex workers as the </w:t>
      </w:r>
      <w:r w:rsidR="004C4316" w:rsidRPr="005D6BE9">
        <w:rPr>
          <w:rFonts w:ascii="Arial" w:hAnsi="Arial" w:cs="Arial"/>
          <w:i/>
          <w:iCs/>
          <w:lang w:val="en-GB"/>
        </w:rPr>
        <w:t>Crimes Amendment Report</w:t>
      </w:r>
      <w:r w:rsidR="004C4316" w:rsidRPr="005D6BE9">
        <w:rPr>
          <w:rFonts w:ascii="Arial" w:hAnsi="Arial" w:cs="Arial"/>
          <w:lang w:val="en-GB"/>
        </w:rPr>
        <w:t xml:space="preserve"> whereby they are constructed as legitimate workers who willingly travel to Australia to work in the sex industry and are different to victims of human trafficking. </w:t>
      </w:r>
    </w:p>
    <w:p w14:paraId="11BE87E9" w14:textId="77777777" w:rsidR="00F751FB" w:rsidRPr="005D6BE9" w:rsidRDefault="00F751FB" w:rsidP="005D6BE9">
      <w:pPr>
        <w:spacing w:after="0" w:line="360" w:lineRule="auto"/>
        <w:jc w:val="both"/>
        <w:rPr>
          <w:rFonts w:ascii="Arial" w:hAnsi="Arial" w:cs="Arial"/>
          <w:i/>
          <w:iCs/>
          <w:lang w:val="en-GB"/>
        </w:rPr>
      </w:pPr>
    </w:p>
    <w:p w14:paraId="620EEDAA" w14:textId="69E9A5FF" w:rsidR="001A1C55" w:rsidRDefault="00615371" w:rsidP="005D6BE9">
      <w:pPr>
        <w:spacing w:after="0" w:line="360" w:lineRule="auto"/>
        <w:jc w:val="both"/>
        <w:rPr>
          <w:rFonts w:ascii="Arial" w:hAnsi="Arial" w:cs="Arial"/>
          <w:i/>
          <w:iCs/>
          <w:lang w:val="en-GB"/>
        </w:rPr>
      </w:pPr>
      <w:r w:rsidRPr="005D6BE9">
        <w:rPr>
          <w:rFonts w:ascii="Arial" w:hAnsi="Arial" w:cs="Arial"/>
          <w:i/>
          <w:iCs/>
          <w:lang w:val="en-GB"/>
        </w:rPr>
        <w:t xml:space="preserve">What </w:t>
      </w:r>
      <w:r w:rsidR="009C22AE">
        <w:rPr>
          <w:rFonts w:ascii="Arial" w:hAnsi="Arial" w:cs="Arial"/>
          <w:i/>
          <w:iCs/>
          <w:lang w:val="en-GB"/>
        </w:rPr>
        <w:t>P</w:t>
      </w:r>
      <w:r w:rsidRPr="005D6BE9">
        <w:rPr>
          <w:rFonts w:ascii="Arial" w:hAnsi="Arial" w:cs="Arial"/>
          <w:i/>
          <w:iCs/>
          <w:lang w:val="en-GB"/>
        </w:rPr>
        <w:t xml:space="preserve">resuppositions or </w:t>
      </w:r>
      <w:r w:rsidR="009C22AE">
        <w:rPr>
          <w:rFonts w:ascii="Arial" w:hAnsi="Arial" w:cs="Arial"/>
          <w:i/>
          <w:iCs/>
          <w:lang w:val="en-GB"/>
        </w:rPr>
        <w:t>A</w:t>
      </w:r>
      <w:r w:rsidRPr="005D6BE9">
        <w:rPr>
          <w:rFonts w:ascii="Arial" w:hAnsi="Arial" w:cs="Arial"/>
          <w:i/>
          <w:iCs/>
          <w:lang w:val="en-GB"/>
        </w:rPr>
        <w:t xml:space="preserve">ssumptions </w:t>
      </w:r>
      <w:r w:rsidR="009C22AE">
        <w:rPr>
          <w:rFonts w:ascii="Arial" w:hAnsi="Arial" w:cs="Arial"/>
          <w:i/>
          <w:iCs/>
          <w:lang w:val="en-GB"/>
        </w:rPr>
        <w:t>U</w:t>
      </w:r>
      <w:r w:rsidRPr="005D6BE9">
        <w:rPr>
          <w:rFonts w:ascii="Arial" w:hAnsi="Arial" w:cs="Arial"/>
          <w:i/>
          <w:iCs/>
          <w:lang w:val="en-GB"/>
        </w:rPr>
        <w:t xml:space="preserve">nderlie this </w:t>
      </w:r>
      <w:r w:rsidR="009C22AE">
        <w:rPr>
          <w:rFonts w:ascii="Arial" w:hAnsi="Arial" w:cs="Arial"/>
          <w:i/>
          <w:iCs/>
          <w:lang w:val="en-GB"/>
        </w:rPr>
        <w:t>R</w:t>
      </w:r>
      <w:r w:rsidRPr="005D6BE9">
        <w:rPr>
          <w:rFonts w:ascii="Arial" w:hAnsi="Arial" w:cs="Arial"/>
          <w:i/>
          <w:iCs/>
          <w:lang w:val="en-GB"/>
        </w:rPr>
        <w:t xml:space="preserve">epresentation of the </w:t>
      </w:r>
      <w:r w:rsidR="009C22AE">
        <w:rPr>
          <w:rFonts w:ascii="Arial" w:hAnsi="Arial" w:cs="Arial"/>
          <w:i/>
          <w:iCs/>
          <w:lang w:val="en-GB"/>
        </w:rPr>
        <w:t>P</w:t>
      </w:r>
      <w:r w:rsidRPr="005D6BE9">
        <w:rPr>
          <w:rFonts w:ascii="Arial" w:hAnsi="Arial" w:cs="Arial"/>
          <w:i/>
          <w:iCs/>
          <w:lang w:val="en-GB"/>
        </w:rPr>
        <w:t>roblem?</w:t>
      </w:r>
    </w:p>
    <w:p w14:paraId="60C16892" w14:textId="77777777" w:rsidR="009C22AE" w:rsidRPr="005D6BE9" w:rsidRDefault="009C22AE" w:rsidP="005D6BE9">
      <w:pPr>
        <w:spacing w:after="0" w:line="360" w:lineRule="auto"/>
        <w:jc w:val="both"/>
        <w:rPr>
          <w:rFonts w:ascii="Arial" w:hAnsi="Arial" w:cs="Arial"/>
          <w:i/>
          <w:iCs/>
          <w:lang w:val="en-GB"/>
        </w:rPr>
      </w:pPr>
    </w:p>
    <w:p w14:paraId="71C084A5" w14:textId="43920F7D" w:rsidR="001A1C55" w:rsidRDefault="001A1C55" w:rsidP="005D6BE9">
      <w:pPr>
        <w:spacing w:after="0" w:line="360" w:lineRule="auto"/>
        <w:jc w:val="both"/>
        <w:rPr>
          <w:rFonts w:ascii="Arial" w:hAnsi="Arial" w:cs="Arial"/>
          <w:lang w:val="en-GB"/>
        </w:rPr>
      </w:pPr>
      <w:r w:rsidRPr="005D6BE9">
        <w:rPr>
          <w:rFonts w:ascii="Arial" w:hAnsi="Arial" w:cs="Arial"/>
          <w:lang w:val="en-GB"/>
        </w:rPr>
        <w:t>The recommendation to ‘support and fund initiatives to inform migrant sex workers about their legal rights and obligations’ assumes that migrant sex workers can prevent their exploitation given the right information. In this light, migrant sex workers are constructed as ‘responsibilised subjects’</w:t>
      </w:r>
      <w:r w:rsidR="00F86960" w:rsidRPr="005D6BE9">
        <w:rPr>
          <w:rFonts w:ascii="Arial" w:hAnsi="Arial" w:cs="Arial"/>
          <w:lang w:val="en-GB"/>
        </w:rPr>
        <w:t xml:space="preserve"> (Bacchi and Goodwin, 2016)</w:t>
      </w:r>
      <w:r w:rsidRPr="005D6BE9">
        <w:rPr>
          <w:rFonts w:ascii="Arial" w:hAnsi="Arial" w:cs="Arial"/>
          <w:lang w:val="en-GB"/>
        </w:rPr>
        <w:t xml:space="preserve">. As highlighted by Bacchi and Goodwin (2016, 73), producing responsibilised subjects is a tool of governing </w:t>
      </w:r>
      <w:r w:rsidR="00B90B9D" w:rsidRPr="005D6BE9">
        <w:rPr>
          <w:rFonts w:ascii="Arial" w:hAnsi="Arial" w:cs="Arial"/>
          <w:lang w:val="en-GB"/>
        </w:rPr>
        <w:t>that rule</w:t>
      </w:r>
      <w:r w:rsidRPr="005D6BE9">
        <w:rPr>
          <w:rFonts w:ascii="Arial" w:hAnsi="Arial" w:cs="Arial"/>
          <w:lang w:val="en-GB"/>
        </w:rPr>
        <w:t xml:space="preserve"> by constructing subjects as largely responsible for their own wellbeing, diverting the focus from ‘the broad-based social factors that shape lives’ and impact the choices people make. Returning to the original policy document this recommendation was adopted from, </w:t>
      </w:r>
      <w:r w:rsidRPr="005D6BE9">
        <w:rPr>
          <w:rFonts w:ascii="Arial" w:hAnsi="Arial" w:cs="Arial"/>
          <w:i/>
          <w:iCs/>
          <w:lang w:val="en-GB"/>
        </w:rPr>
        <w:t>the Human Trafficking Report</w:t>
      </w:r>
      <w:r w:rsidRPr="005D6BE9">
        <w:rPr>
          <w:rFonts w:ascii="Arial" w:hAnsi="Arial" w:cs="Arial"/>
          <w:lang w:val="en-GB"/>
        </w:rPr>
        <w:t xml:space="preserve"> states that the rationale to ‘support and fund initiatives to inform migrant sex workers about their legal rights and obligations’ is due to the conclusion that: </w:t>
      </w:r>
    </w:p>
    <w:p w14:paraId="5568FECF" w14:textId="77777777" w:rsidR="009C22AE" w:rsidRPr="005D6BE9" w:rsidRDefault="009C22AE" w:rsidP="005D6BE9">
      <w:pPr>
        <w:spacing w:after="0" w:line="360" w:lineRule="auto"/>
        <w:jc w:val="both"/>
        <w:rPr>
          <w:rFonts w:ascii="Arial" w:hAnsi="Arial" w:cs="Arial"/>
          <w:lang w:val="en-GB"/>
        </w:rPr>
      </w:pPr>
    </w:p>
    <w:p w14:paraId="11BF45FC" w14:textId="434C17E5" w:rsidR="00940320" w:rsidRPr="009C22AE" w:rsidRDefault="001A1C55" w:rsidP="009C22AE">
      <w:pPr>
        <w:tabs>
          <w:tab w:val="left" w:pos="7513"/>
          <w:tab w:val="left" w:pos="8222"/>
        </w:tabs>
        <w:spacing w:after="0" w:line="360" w:lineRule="auto"/>
        <w:ind w:left="851" w:right="804"/>
        <w:jc w:val="both"/>
        <w:rPr>
          <w:rFonts w:ascii="Arial" w:hAnsi="Arial" w:cs="Arial"/>
          <w:lang w:val="en-GB"/>
        </w:rPr>
      </w:pPr>
      <w:r w:rsidRPr="009C22AE">
        <w:rPr>
          <w:rFonts w:ascii="Arial" w:hAnsi="Arial" w:cs="Arial"/>
          <w:lang w:val="en-GB"/>
        </w:rPr>
        <w:t xml:space="preserve">… migrant and CALD sex workers, on account of cultural and language differences, as well as fear about reprisal and/or their migration status, may not know where they can seek support and advice, or </w:t>
      </w:r>
      <w:r w:rsidRPr="009C22AE">
        <w:rPr>
          <w:rFonts w:ascii="Arial" w:hAnsi="Arial" w:cs="Arial"/>
          <w:b/>
          <w:bCs/>
          <w:lang w:val="en-GB"/>
        </w:rPr>
        <w:t>may be</w:t>
      </w:r>
      <w:r w:rsidRPr="009C22AE">
        <w:rPr>
          <w:rFonts w:ascii="Arial" w:hAnsi="Arial" w:cs="Arial"/>
          <w:lang w:val="en-GB"/>
        </w:rPr>
        <w:t xml:space="preserve"> </w:t>
      </w:r>
      <w:r w:rsidRPr="009C22AE">
        <w:rPr>
          <w:rFonts w:ascii="Arial" w:hAnsi="Arial" w:cs="Arial"/>
          <w:b/>
          <w:bCs/>
          <w:lang w:val="en-GB"/>
        </w:rPr>
        <w:t>unwilling</w:t>
      </w:r>
      <w:r w:rsidRPr="009C22AE">
        <w:rPr>
          <w:rFonts w:ascii="Arial" w:hAnsi="Arial" w:cs="Arial"/>
          <w:lang w:val="en-GB"/>
        </w:rPr>
        <w:t xml:space="preserve"> </w:t>
      </w:r>
      <w:r w:rsidRPr="009C22AE">
        <w:rPr>
          <w:rFonts w:ascii="Arial" w:hAnsi="Arial" w:cs="Arial"/>
          <w:b/>
          <w:bCs/>
          <w:lang w:val="en-GB"/>
        </w:rPr>
        <w:t xml:space="preserve">to do so </w:t>
      </w:r>
      <w:r w:rsidRPr="009C22AE">
        <w:rPr>
          <w:rFonts w:ascii="Arial" w:hAnsi="Arial" w:cs="Arial"/>
          <w:lang w:val="en-GB"/>
        </w:rPr>
        <w:t>[</w:t>
      </w:r>
      <w:r w:rsidRPr="009C22AE">
        <w:rPr>
          <w:rFonts w:ascii="Arial" w:hAnsi="Arial" w:cs="Arial"/>
          <w:i/>
          <w:iCs/>
          <w:lang w:val="en-GB"/>
        </w:rPr>
        <w:t>emphasis added</w:t>
      </w:r>
      <w:r w:rsidRPr="009C22AE">
        <w:rPr>
          <w:rFonts w:ascii="Arial" w:hAnsi="Arial" w:cs="Arial"/>
          <w:lang w:val="en-GB"/>
        </w:rPr>
        <w:t xml:space="preserve">] </w:t>
      </w:r>
    </w:p>
    <w:p w14:paraId="01ADB1BF" w14:textId="38042138" w:rsidR="001A1C55" w:rsidRPr="009C22AE" w:rsidRDefault="001A1C55" w:rsidP="009C22AE">
      <w:pPr>
        <w:tabs>
          <w:tab w:val="left" w:pos="7513"/>
          <w:tab w:val="left" w:pos="8222"/>
        </w:tabs>
        <w:spacing w:after="0" w:line="360" w:lineRule="auto"/>
        <w:ind w:left="851" w:right="804"/>
        <w:jc w:val="right"/>
        <w:rPr>
          <w:rFonts w:ascii="Arial" w:hAnsi="Arial" w:cs="Arial"/>
          <w:lang w:val="en-GB"/>
        </w:rPr>
      </w:pPr>
      <w:r w:rsidRPr="009C22AE">
        <w:rPr>
          <w:rFonts w:ascii="Arial" w:hAnsi="Arial" w:cs="Arial"/>
          <w:lang w:val="en-GB"/>
        </w:rPr>
        <w:t xml:space="preserve">(PJCLE, 2017, 62). </w:t>
      </w:r>
    </w:p>
    <w:p w14:paraId="117B28E7" w14:textId="77777777" w:rsidR="009C22AE" w:rsidRPr="005D6BE9" w:rsidRDefault="009C22AE" w:rsidP="005D6BE9">
      <w:pPr>
        <w:spacing w:after="0" w:line="360" w:lineRule="auto"/>
        <w:ind w:left="720" w:right="1088"/>
        <w:jc w:val="right"/>
        <w:rPr>
          <w:rFonts w:ascii="Arial" w:hAnsi="Arial" w:cs="Arial"/>
          <w:lang w:val="en-GB"/>
        </w:rPr>
      </w:pPr>
    </w:p>
    <w:p w14:paraId="7F888CFA" w14:textId="6F2EDC07" w:rsidR="001A1C55" w:rsidRDefault="001A1C55" w:rsidP="005D6BE9">
      <w:pPr>
        <w:spacing w:after="0" w:line="360" w:lineRule="auto"/>
        <w:ind w:firstLine="720"/>
        <w:jc w:val="both"/>
        <w:rPr>
          <w:rFonts w:ascii="Arial" w:hAnsi="Arial" w:cs="Arial"/>
          <w:lang w:val="en-GB"/>
        </w:rPr>
      </w:pPr>
      <w:r w:rsidRPr="005D6BE9">
        <w:rPr>
          <w:rFonts w:ascii="Arial" w:hAnsi="Arial" w:cs="Arial"/>
          <w:lang w:val="en-GB"/>
        </w:rPr>
        <w:t xml:space="preserve">The assumption underpinning this statement is that exploitation can be reduced by providing migrant sex workers with information on where to seek support and advice. However, another assumption that emerges from the Report’s rationale is that, for whatever reason, migrant sex workers are ‘unwilling’ to prevent and </w:t>
      </w:r>
      <w:r w:rsidR="00144481" w:rsidRPr="005D6BE9">
        <w:rPr>
          <w:rFonts w:ascii="Arial" w:hAnsi="Arial" w:cs="Arial"/>
          <w:lang w:val="en-GB"/>
        </w:rPr>
        <w:t>redress</w:t>
      </w:r>
      <w:r w:rsidRPr="005D6BE9">
        <w:rPr>
          <w:rFonts w:ascii="Arial" w:hAnsi="Arial" w:cs="Arial"/>
          <w:lang w:val="en-GB"/>
        </w:rPr>
        <w:t xml:space="preserve"> their exploitation. As a result, it appears that while migrant sex workers are constructed as </w:t>
      </w:r>
      <w:r w:rsidR="009F1211" w:rsidRPr="005D6BE9">
        <w:rPr>
          <w:rFonts w:ascii="Arial" w:hAnsi="Arial" w:cs="Arial"/>
          <w:lang w:val="en-GB"/>
        </w:rPr>
        <w:t>‘</w:t>
      </w:r>
      <w:r w:rsidRPr="005D6BE9">
        <w:rPr>
          <w:rFonts w:ascii="Arial" w:hAnsi="Arial" w:cs="Arial"/>
          <w:lang w:val="en-GB"/>
        </w:rPr>
        <w:t>responsibilised subjects</w:t>
      </w:r>
      <w:r w:rsidR="009F1211" w:rsidRPr="005D6BE9">
        <w:rPr>
          <w:rFonts w:ascii="Arial" w:hAnsi="Arial" w:cs="Arial"/>
          <w:lang w:val="en-GB"/>
        </w:rPr>
        <w:t>’</w:t>
      </w:r>
      <w:r w:rsidRPr="005D6BE9">
        <w:rPr>
          <w:rFonts w:ascii="Arial" w:hAnsi="Arial" w:cs="Arial"/>
          <w:lang w:val="en-GB"/>
        </w:rPr>
        <w:t xml:space="preserve"> who can prevent their own exploitation given the right advice, they are also constructed as ‘unwilling to do so’.</w:t>
      </w:r>
    </w:p>
    <w:p w14:paraId="73BBEBDB" w14:textId="77777777" w:rsidR="009C22AE" w:rsidRPr="005D6BE9" w:rsidRDefault="009C22AE" w:rsidP="005D6BE9">
      <w:pPr>
        <w:spacing w:after="0" w:line="360" w:lineRule="auto"/>
        <w:ind w:firstLine="720"/>
        <w:jc w:val="both"/>
        <w:rPr>
          <w:rFonts w:ascii="Arial" w:hAnsi="Arial" w:cs="Arial"/>
          <w:lang w:val="en-GB"/>
        </w:rPr>
      </w:pPr>
    </w:p>
    <w:p w14:paraId="3495538D" w14:textId="0B541F62" w:rsidR="001A1C55" w:rsidRDefault="001A1C55" w:rsidP="005D6BE9">
      <w:pPr>
        <w:spacing w:after="0" w:line="360" w:lineRule="auto"/>
        <w:ind w:firstLine="720"/>
        <w:jc w:val="both"/>
        <w:rPr>
          <w:rFonts w:ascii="Arial" w:hAnsi="Arial" w:cs="Arial"/>
          <w:lang w:val="en-GB"/>
        </w:rPr>
      </w:pPr>
      <w:r w:rsidRPr="005D6BE9">
        <w:rPr>
          <w:rFonts w:ascii="Arial" w:hAnsi="Arial" w:cs="Arial"/>
          <w:lang w:val="en-GB"/>
        </w:rPr>
        <w:t xml:space="preserve">It is worth noting that the construction of migrant sex workers as </w:t>
      </w:r>
      <w:r w:rsidR="009F1211" w:rsidRPr="005D6BE9">
        <w:rPr>
          <w:rFonts w:ascii="Arial" w:hAnsi="Arial" w:cs="Arial"/>
          <w:lang w:val="en-GB"/>
        </w:rPr>
        <w:t>‘</w:t>
      </w:r>
      <w:r w:rsidRPr="005D6BE9">
        <w:rPr>
          <w:rFonts w:ascii="Arial" w:hAnsi="Arial" w:cs="Arial"/>
          <w:lang w:val="en-GB"/>
        </w:rPr>
        <w:t>responsibilised subjects</w:t>
      </w:r>
      <w:r w:rsidR="009F1211" w:rsidRPr="005D6BE9">
        <w:rPr>
          <w:rFonts w:ascii="Arial" w:hAnsi="Arial" w:cs="Arial"/>
          <w:lang w:val="en-GB"/>
        </w:rPr>
        <w:t>’</w:t>
      </w:r>
      <w:r w:rsidRPr="005D6BE9">
        <w:rPr>
          <w:rFonts w:ascii="Arial" w:hAnsi="Arial" w:cs="Arial"/>
          <w:lang w:val="en-GB"/>
        </w:rPr>
        <w:t xml:space="preserve"> who are unwilling to prevent their own exploitation is not unique to the ‘Sex Trafficking’ chapter of the </w:t>
      </w:r>
      <w:r w:rsidR="0086495D" w:rsidRPr="005D6BE9">
        <w:rPr>
          <w:rFonts w:ascii="Arial" w:hAnsi="Arial" w:cs="Arial"/>
          <w:i/>
          <w:iCs/>
          <w:lang w:val="en-GB"/>
        </w:rPr>
        <w:t>HPSR</w:t>
      </w:r>
      <w:r w:rsidRPr="005D6BE9">
        <w:rPr>
          <w:rFonts w:ascii="Arial" w:hAnsi="Arial" w:cs="Arial"/>
          <w:lang w:val="en-GB"/>
        </w:rPr>
        <w:t xml:space="preserve">. While the ‘Labour Exploitation and Australia’s Visa Framework’ chapter excludes any reference to the commercial sex industry, even when discussing sexual exploitation, a key recommendation made in this chapter is to improve the information available for migrant workers (JFADT, 2017). Migrant workers, like migrant sex workers, are constructed as </w:t>
      </w:r>
      <w:r w:rsidR="009F1211" w:rsidRPr="005D6BE9">
        <w:rPr>
          <w:rFonts w:ascii="Arial" w:hAnsi="Arial" w:cs="Arial"/>
          <w:lang w:val="en-GB"/>
        </w:rPr>
        <w:t>‘</w:t>
      </w:r>
      <w:r w:rsidRPr="005D6BE9">
        <w:rPr>
          <w:rFonts w:ascii="Arial" w:hAnsi="Arial" w:cs="Arial"/>
          <w:lang w:val="en-GB"/>
        </w:rPr>
        <w:t>responsibilised subjects</w:t>
      </w:r>
      <w:r w:rsidR="009F1211" w:rsidRPr="005D6BE9">
        <w:rPr>
          <w:rFonts w:ascii="Arial" w:hAnsi="Arial" w:cs="Arial"/>
          <w:lang w:val="en-GB"/>
        </w:rPr>
        <w:t>’</w:t>
      </w:r>
      <w:r w:rsidRPr="005D6BE9">
        <w:rPr>
          <w:rFonts w:ascii="Arial" w:hAnsi="Arial" w:cs="Arial"/>
          <w:lang w:val="en-GB"/>
        </w:rPr>
        <w:t xml:space="preserve"> who are able to choose to not be exploited given the right information.</w:t>
      </w:r>
    </w:p>
    <w:p w14:paraId="35449897" w14:textId="77777777" w:rsidR="009C22AE" w:rsidRPr="005D6BE9" w:rsidRDefault="009C22AE" w:rsidP="005D6BE9">
      <w:pPr>
        <w:spacing w:after="0" w:line="360" w:lineRule="auto"/>
        <w:ind w:firstLine="720"/>
        <w:jc w:val="both"/>
        <w:rPr>
          <w:rFonts w:ascii="Arial" w:hAnsi="Arial" w:cs="Arial"/>
          <w:lang w:val="en-GB"/>
        </w:rPr>
      </w:pPr>
    </w:p>
    <w:p w14:paraId="5FB31506" w14:textId="239EB638" w:rsidR="001A1C55" w:rsidRDefault="001A1C55" w:rsidP="005D6BE9">
      <w:pPr>
        <w:spacing w:after="0" w:line="360" w:lineRule="auto"/>
        <w:ind w:firstLine="720"/>
        <w:jc w:val="both"/>
        <w:rPr>
          <w:rFonts w:ascii="Arial" w:hAnsi="Arial" w:cs="Arial"/>
          <w:lang w:val="en-GB"/>
        </w:rPr>
      </w:pPr>
      <w:r w:rsidRPr="005D6BE9">
        <w:rPr>
          <w:rFonts w:ascii="Arial" w:hAnsi="Arial" w:cs="Arial"/>
          <w:lang w:val="en-GB"/>
        </w:rPr>
        <w:t xml:space="preserve">While the </w:t>
      </w:r>
      <w:r w:rsidR="0086495D" w:rsidRPr="005D6BE9">
        <w:rPr>
          <w:rFonts w:ascii="Arial" w:hAnsi="Arial" w:cs="Arial"/>
          <w:i/>
          <w:iCs/>
          <w:lang w:val="en-GB"/>
        </w:rPr>
        <w:t>HPSR</w:t>
      </w:r>
      <w:r w:rsidRPr="005D6BE9">
        <w:rPr>
          <w:rFonts w:ascii="Arial" w:hAnsi="Arial" w:cs="Arial"/>
          <w:lang w:val="en-GB"/>
        </w:rPr>
        <w:t xml:space="preserve"> presents a number of potential underlying causes of labour exploitation of migrant workers, submitters views on the motivations and reasons why migrant workers choose to become and remain in exploitative working situations is presented in the Report. For example, the Victorian Farmers Federation, a lobby group</w:t>
      </w:r>
      <w:r w:rsidR="00810E13" w:rsidRPr="005D6BE9">
        <w:rPr>
          <w:rFonts w:ascii="Arial" w:hAnsi="Arial" w:cs="Arial"/>
          <w:lang w:val="en-GB"/>
        </w:rPr>
        <w:t xml:space="preserve"> for farmers,</w:t>
      </w:r>
      <w:r w:rsidRPr="005D6BE9">
        <w:rPr>
          <w:rFonts w:ascii="Arial" w:hAnsi="Arial" w:cs="Arial"/>
          <w:lang w:val="en-GB"/>
        </w:rPr>
        <w:t xml:space="preserve"> are quoted in the Report asserting that: </w:t>
      </w:r>
    </w:p>
    <w:p w14:paraId="1AC14243" w14:textId="77777777" w:rsidR="009C22AE" w:rsidRPr="005D6BE9" w:rsidRDefault="009C22AE" w:rsidP="005D6BE9">
      <w:pPr>
        <w:spacing w:after="0" w:line="360" w:lineRule="auto"/>
        <w:ind w:firstLine="720"/>
        <w:jc w:val="both"/>
        <w:rPr>
          <w:rFonts w:ascii="Arial" w:hAnsi="Arial" w:cs="Arial"/>
          <w:lang w:val="en-GB"/>
        </w:rPr>
      </w:pPr>
    </w:p>
    <w:p w14:paraId="6880B718" w14:textId="18319FA7" w:rsidR="00940320" w:rsidRPr="009C22AE" w:rsidRDefault="001A1C55" w:rsidP="009C22AE">
      <w:pPr>
        <w:spacing w:after="0" w:line="360" w:lineRule="auto"/>
        <w:ind w:left="851" w:right="804"/>
        <w:jc w:val="both"/>
        <w:rPr>
          <w:rFonts w:ascii="Arial" w:hAnsi="Arial" w:cs="Arial"/>
          <w:lang w:val="en-GB"/>
        </w:rPr>
      </w:pPr>
      <w:r w:rsidRPr="009C22AE">
        <w:rPr>
          <w:rFonts w:ascii="Arial" w:hAnsi="Arial" w:cs="Arial"/>
          <w:lang w:val="en-GB"/>
        </w:rPr>
        <w:t xml:space="preserve">unless you address the </w:t>
      </w:r>
      <w:r w:rsidRPr="009C22AE">
        <w:rPr>
          <w:rFonts w:ascii="Arial" w:hAnsi="Arial" w:cs="Arial"/>
          <w:b/>
          <w:bCs/>
          <w:lang w:val="en-GB"/>
        </w:rPr>
        <w:t>underlying motivation as to why someone allows themselves to be exploited</w:t>
      </w:r>
      <w:r w:rsidRPr="009C22AE">
        <w:rPr>
          <w:rFonts w:ascii="Arial" w:hAnsi="Arial" w:cs="Arial"/>
          <w:lang w:val="en-GB"/>
        </w:rPr>
        <w:t xml:space="preserve"> [</w:t>
      </w:r>
      <w:r w:rsidRPr="009C22AE">
        <w:rPr>
          <w:rFonts w:ascii="Arial" w:hAnsi="Arial" w:cs="Arial"/>
          <w:i/>
          <w:iCs/>
          <w:lang w:val="en-GB"/>
        </w:rPr>
        <w:t>emphasis added</w:t>
      </w:r>
      <w:r w:rsidRPr="009C22AE">
        <w:rPr>
          <w:rFonts w:ascii="Arial" w:hAnsi="Arial" w:cs="Arial"/>
          <w:lang w:val="en-GB"/>
        </w:rPr>
        <w:t>], no new act put in place and none of the current laws can protect these people</w:t>
      </w:r>
      <w:r w:rsidR="00940320" w:rsidRPr="009C22AE">
        <w:rPr>
          <w:rFonts w:ascii="Arial" w:hAnsi="Arial" w:cs="Arial"/>
          <w:lang w:val="en-GB"/>
        </w:rPr>
        <w:t>.</w:t>
      </w:r>
      <w:r w:rsidRPr="009C22AE">
        <w:rPr>
          <w:rFonts w:ascii="Arial" w:hAnsi="Arial" w:cs="Arial"/>
          <w:lang w:val="en-GB"/>
        </w:rPr>
        <w:t xml:space="preserve"> </w:t>
      </w:r>
    </w:p>
    <w:p w14:paraId="743A67FC" w14:textId="5713B51E" w:rsidR="001A1C55" w:rsidRDefault="001A1C55" w:rsidP="009C22AE">
      <w:pPr>
        <w:spacing w:after="0" w:line="360" w:lineRule="auto"/>
        <w:ind w:left="851" w:right="804"/>
        <w:jc w:val="right"/>
        <w:rPr>
          <w:rFonts w:ascii="Arial" w:hAnsi="Arial" w:cs="Arial"/>
          <w:lang w:val="en-GB"/>
        </w:rPr>
      </w:pPr>
      <w:r w:rsidRPr="005D6BE9">
        <w:rPr>
          <w:rFonts w:ascii="Arial" w:hAnsi="Arial" w:cs="Arial"/>
          <w:lang w:val="en-GB"/>
        </w:rPr>
        <w:t>(JFADT, 2017, 281).</w:t>
      </w:r>
    </w:p>
    <w:p w14:paraId="2A181638" w14:textId="77777777" w:rsidR="009C22AE" w:rsidRPr="005D6BE9" w:rsidRDefault="009C22AE" w:rsidP="009C22AE">
      <w:pPr>
        <w:spacing w:after="0" w:line="360" w:lineRule="auto"/>
        <w:ind w:left="851" w:right="804"/>
        <w:jc w:val="right"/>
        <w:rPr>
          <w:rFonts w:ascii="Arial" w:hAnsi="Arial" w:cs="Arial"/>
          <w:lang w:val="en-GB"/>
        </w:rPr>
      </w:pPr>
    </w:p>
    <w:p w14:paraId="7FB42275" w14:textId="79191F68" w:rsidR="001A1C55" w:rsidRDefault="001A1C55" w:rsidP="005D6BE9">
      <w:pPr>
        <w:spacing w:after="0" w:line="360" w:lineRule="auto"/>
        <w:ind w:firstLine="720"/>
        <w:jc w:val="both"/>
        <w:rPr>
          <w:rFonts w:ascii="Arial" w:hAnsi="Arial" w:cs="Arial"/>
          <w:lang w:val="en-GB"/>
        </w:rPr>
      </w:pPr>
      <w:r w:rsidRPr="005D6BE9">
        <w:rPr>
          <w:rFonts w:ascii="Arial" w:hAnsi="Arial" w:cs="Arial"/>
          <w:lang w:val="en-GB"/>
        </w:rPr>
        <w:t>While migrant workers are constructed as able to choose to not be exploited, they are also constructed as ‘allow</w:t>
      </w:r>
      <w:r w:rsidR="001376BF" w:rsidRPr="005D6BE9">
        <w:rPr>
          <w:rFonts w:ascii="Arial" w:hAnsi="Arial" w:cs="Arial"/>
          <w:lang w:val="en-GB"/>
        </w:rPr>
        <w:t>[</w:t>
      </w:r>
      <w:r w:rsidRPr="005D6BE9">
        <w:rPr>
          <w:rFonts w:ascii="Arial" w:hAnsi="Arial" w:cs="Arial"/>
          <w:lang w:val="en-GB"/>
        </w:rPr>
        <w:t>ing</w:t>
      </w:r>
      <w:r w:rsidR="001376BF" w:rsidRPr="005D6BE9">
        <w:rPr>
          <w:rFonts w:ascii="Arial" w:hAnsi="Arial" w:cs="Arial"/>
          <w:lang w:val="en-GB"/>
        </w:rPr>
        <w:t>]</w:t>
      </w:r>
      <w:r w:rsidRPr="005D6BE9">
        <w:rPr>
          <w:rFonts w:ascii="Arial" w:hAnsi="Arial" w:cs="Arial"/>
          <w:lang w:val="en-GB"/>
        </w:rPr>
        <w:t xml:space="preserve"> themselves to be exploited’</w:t>
      </w:r>
      <w:r w:rsidR="001371C0" w:rsidRPr="005D6BE9">
        <w:rPr>
          <w:rFonts w:ascii="Arial" w:hAnsi="Arial" w:cs="Arial"/>
          <w:lang w:val="en-GB"/>
        </w:rPr>
        <w:t xml:space="preserve"> and</w:t>
      </w:r>
      <w:r w:rsidR="00E12051" w:rsidRPr="005D6BE9">
        <w:rPr>
          <w:rFonts w:ascii="Arial" w:hAnsi="Arial" w:cs="Arial"/>
          <w:lang w:val="en-GB"/>
        </w:rPr>
        <w:t xml:space="preserve">, </w:t>
      </w:r>
      <w:r w:rsidR="0082343B" w:rsidRPr="005D6BE9">
        <w:rPr>
          <w:rFonts w:ascii="Arial" w:hAnsi="Arial" w:cs="Arial"/>
          <w:lang w:val="en-GB"/>
        </w:rPr>
        <w:t>at least</w:t>
      </w:r>
      <w:r w:rsidR="00E12051" w:rsidRPr="005D6BE9">
        <w:rPr>
          <w:rFonts w:ascii="Arial" w:hAnsi="Arial" w:cs="Arial"/>
          <w:lang w:val="en-GB"/>
        </w:rPr>
        <w:t xml:space="preserve"> in part,</w:t>
      </w:r>
      <w:r w:rsidR="001371C0" w:rsidRPr="005D6BE9">
        <w:rPr>
          <w:rFonts w:ascii="Arial" w:hAnsi="Arial" w:cs="Arial"/>
          <w:lang w:val="en-GB"/>
        </w:rPr>
        <w:t xml:space="preserve"> </w:t>
      </w:r>
      <w:r w:rsidR="00E12051" w:rsidRPr="005D6BE9">
        <w:rPr>
          <w:rFonts w:ascii="Arial" w:hAnsi="Arial" w:cs="Arial"/>
          <w:lang w:val="en-GB"/>
        </w:rPr>
        <w:t xml:space="preserve">responsible for the existence of the </w:t>
      </w:r>
      <w:r w:rsidR="001371C0" w:rsidRPr="005D6BE9">
        <w:rPr>
          <w:rFonts w:ascii="Arial" w:hAnsi="Arial" w:cs="Arial"/>
          <w:lang w:val="en-GB"/>
        </w:rPr>
        <w:t xml:space="preserve">problem of human trafficking </w:t>
      </w:r>
      <w:r w:rsidR="007D2C19" w:rsidRPr="005D6BE9">
        <w:rPr>
          <w:rFonts w:ascii="Arial" w:hAnsi="Arial" w:cs="Arial"/>
          <w:lang w:val="en-GB"/>
        </w:rPr>
        <w:t xml:space="preserve">in Australia. </w:t>
      </w:r>
      <w:r w:rsidRPr="005D6BE9">
        <w:rPr>
          <w:rFonts w:ascii="Arial" w:hAnsi="Arial" w:cs="Arial"/>
          <w:lang w:val="en-GB"/>
        </w:rPr>
        <w:t xml:space="preserve">As a result, migrant workers are framed in a similar way as migrant sex workers whereby both are constructed as willingly entering into exploitative working conditions. The </w:t>
      </w:r>
      <w:r w:rsidR="0086495D" w:rsidRPr="005D6BE9">
        <w:rPr>
          <w:rFonts w:ascii="Arial" w:hAnsi="Arial" w:cs="Arial"/>
          <w:i/>
          <w:iCs/>
          <w:lang w:val="en-GB"/>
        </w:rPr>
        <w:t>HPSR</w:t>
      </w:r>
      <w:r w:rsidRPr="005D6BE9">
        <w:rPr>
          <w:rFonts w:ascii="Arial" w:hAnsi="Arial" w:cs="Arial"/>
          <w:lang w:val="en-GB"/>
        </w:rPr>
        <w:t xml:space="preserve"> indicates that migrant workers exploit themselves by entering into debt contracts, becoming </w:t>
      </w:r>
      <w:r w:rsidR="002658D4" w:rsidRPr="005D6BE9">
        <w:rPr>
          <w:rFonts w:ascii="Arial" w:hAnsi="Arial" w:cs="Arial"/>
          <w:lang w:val="en-GB"/>
        </w:rPr>
        <w:t>‘</w:t>
      </w:r>
      <w:r w:rsidR="001376BF" w:rsidRPr="005D6BE9">
        <w:rPr>
          <w:rFonts w:ascii="Arial" w:hAnsi="Arial" w:cs="Arial"/>
          <w:lang w:val="en-GB"/>
        </w:rPr>
        <w:t>i</w:t>
      </w:r>
      <w:r w:rsidRPr="005D6BE9">
        <w:rPr>
          <w:rFonts w:ascii="Arial" w:hAnsi="Arial" w:cs="Arial"/>
          <w:lang w:val="en-GB"/>
        </w:rPr>
        <w:t>llegal migrants</w:t>
      </w:r>
      <w:r w:rsidR="002658D4" w:rsidRPr="005D6BE9">
        <w:rPr>
          <w:rFonts w:ascii="Arial" w:hAnsi="Arial" w:cs="Arial"/>
          <w:lang w:val="en-GB"/>
        </w:rPr>
        <w:t>’</w:t>
      </w:r>
      <w:r w:rsidRPr="005D6BE9">
        <w:rPr>
          <w:rFonts w:ascii="Arial" w:hAnsi="Arial" w:cs="Arial"/>
          <w:lang w:val="en-GB"/>
        </w:rPr>
        <w:t xml:space="preserve">, and staying in exploitative working conditions. By constructing migrant workers and migrant sex workers as </w:t>
      </w:r>
      <w:r w:rsidRPr="005D6BE9">
        <w:rPr>
          <w:rFonts w:ascii="Arial" w:hAnsi="Arial" w:cs="Arial"/>
          <w:lang w:val="en-GB"/>
        </w:rPr>
        <w:lastRenderedPageBreak/>
        <w:t xml:space="preserve">responsible for their exploitation, the </w:t>
      </w:r>
      <w:r w:rsidR="0086495D" w:rsidRPr="005D6BE9">
        <w:rPr>
          <w:rFonts w:ascii="Arial" w:hAnsi="Arial" w:cs="Arial"/>
          <w:i/>
          <w:iCs/>
          <w:lang w:val="en-GB"/>
        </w:rPr>
        <w:t>HPSR</w:t>
      </w:r>
      <w:r w:rsidRPr="005D6BE9">
        <w:rPr>
          <w:rFonts w:ascii="Arial" w:hAnsi="Arial" w:cs="Arial"/>
          <w:lang w:val="en-GB"/>
        </w:rPr>
        <w:t xml:space="preserve"> appears to be fostering doubt as to whether either of the categories can be recognised as victims of human trafficking.</w:t>
      </w:r>
    </w:p>
    <w:p w14:paraId="53D6DA68" w14:textId="77777777" w:rsidR="009C22AE" w:rsidRPr="005D6BE9" w:rsidRDefault="009C22AE" w:rsidP="005D6BE9">
      <w:pPr>
        <w:spacing w:after="0" w:line="360" w:lineRule="auto"/>
        <w:ind w:firstLine="720"/>
        <w:jc w:val="both"/>
        <w:rPr>
          <w:rFonts w:ascii="Arial" w:hAnsi="Arial" w:cs="Arial"/>
          <w:lang w:val="en-GB"/>
        </w:rPr>
      </w:pPr>
    </w:p>
    <w:p w14:paraId="3C9AE2B5" w14:textId="7485AAE9" w:rsidR="001A1C55" w:rsidRDefault="001A1C55" w:rsidP="005D6BE9">
      <w:pPr>
        <w:spacing w:after="0" w:line="360" w:lineRule="auto"/>
        <w:ind w:firstLine="720"/>
        <w:jc w:val="both"/>
        <w:rPr>
          <w:rFonts w:ascii="Arial" w:hAnsi="Arial" w:cs="Arial"/>
          <w:lang w:val="en-GB"/>
        </w:rPr>
      </w:pPr>
      <w:r w:rsidRPr="005D6BE9">
        <w:rPr>
          <w:rFonts w:ascii="Arial" w:hAnsi="Arial" w:cs="Arial"/>
          <w:lang w:val="en-GB"/>
        </w:rPr>
        <w:t xml:space="preserve">On the other hand, the </w:t>
      </w:r>
      <w:r w:rsidR="0086495D" w:rsidRPr="005D6BE9">
        <w:rPr>
          <w:rFonts w:ascii="Arial" w:hAnsi="Arial" w:cs="Arial"/>
          <w:i/>
          <w:iCs/>
          <w:lang w:val="en-GB"/>
        </w:rPr>
        <w:t>HPSR</w:t>
      </w:r>
      <w:r w:rsidRPr="005D6BE9">
        <w:rPr>
          <w:rFonts w:ascii="Arial" w:hAnsi="Arial" w:cs="Arial"/>
          <w:i/>
          <w:iCs/>
          <w:lang w:val="en-GB"/>
        </w:rPr>
        <w:t>’s</w:t>
      </w:r>
      <w:r w:rsidRPr="005D6BE9">
        <w:rPr>
          <w:rFonts w:ascii="Arial" w:hAnsi="Arial" w:cs="Arial"/>
          <w:lang w:val="en-GB"/>
        </w:rPr>
        <w:t xml:space="preserve"> endorsement of the recommendation to strengthen visa systems to prevent involuntary human trafficking into the sex industry introduces the category ‘involuntary human trafficking victim’. Again, turning to the policy document where the recommendation originated from to interrogate the rationale, </w:t>
      </w:r>
      <w:r w:rsidRPr="005D6BE9">
        <w:rPr>
          <w:rFonts w:ascii="Arial" w:hAnsi="Arial" w:cs="Arial"/>
          <w:i/>
          <w:iCs/>
          <w:lang w:val="en-GB"/>
        </w:rPr>
        <w:t>the Human Trafficking Report</w:t>
      </w:r>
      <w:r w:rsidRPr="005D6BE9">
        <w:rPr>
          <w:rFonts w:ascii="Arial" w:hAnsi="Arial" w:cs="Arial"/>
          <w:lang w:val="en-GB"/>
        </w:rPr>
        <w:t xml:space="preserve"> states: </w:t>
      </w:r>
    </w:p>
    <w:p w14:paraId="46FA9266" w14:textId="77777777" w:rsidR="009C22AE" w:rsidRPr="005D6BE9" w:rsidRDefault="009C22AE" w:rsidP="005D6BE9">
      <w:pPr>
        <w:spacing w:after="0" w:line="360" w:lineRule="auto"/>
        <w:ind w:firstLine="720"/>
        <w:jc w:val="both"/>
        <w:rPr>
          <w:rFonts w:ascii="Arial" w:hAnsi="Arial" w:cs="Arial"/>
          <w:lang w:val="en-GB"/>
        </w:rPr>
      </w:pPr>
    </w:p>
    <w:p w14:paraId="0628D90C" w14:textId="4051003C" w:rsidR="00940320" w:rsidRPr="009C22AE" w:rsidRDefault="001A1C55" w:rsidP="009C22AE">
      <w:pPr>
        <w:spacing w:after="0" w:line="360" w:lineRule="auto"/>
        <w:ind w:left="851" w:right="804"/>
        <w:jc w:val="both"/>
        <w:rPr>
          <w:rFonts w:ascii="Arial" w:hAnsi="Arial" w:cs="Arial"/>
          <w:lang w:val="en-GB"/>
        </w:rPr>
      </w:pPr>
      <w:r w:rsidRPr="009C22AE">
        <w:rPr>
          <w:rFonts w:ascii="Arial" w:hAnsi="Arial" w:cs="Arial"/>
          <w:lang w:val="en-GB"/>
        </w:rPr>
        <w:t xml:space="preserve">The committee is concerned by the evidence of Collective Shout and CATWA </w:t>
      </w:r>
      <w:r w:rsidR="00B47E0C" w:rsidRPr="009C22AE">
        <w:rPr>
          <w:rFonts w:ascii="Arial" w:hAnsi="Arial" w:cs="Arial"/>
          <w:lang w:val="en-GB"/>
        </w:rPr>
        <w:t xml:space="preserve">[the Coalition Against Trafficking in Women Australia] </w:t>
      </w:r>
      <w:r w:rsidRPr="009C22AE">
        <w:rPr>
          <w:rFonts w:ascii="Arial" w:hAnsi="Arial" w:cs="Arial"/>
          <w:lang w:val="en-GB"/>
        </w:rPr>
        <w:t>that some women are trafficked into the Australian sex industry on the promise of other types of work and/or under the guise of a student visa. The committee shares these concerns, and suggests that such exploitation can be reduced by strengthening Australia's visa systems such that there is less opportunity for third parties to abuse the visa process for the purpose of sex trafficking into Australia</w:t>
      </w:r>
      <w:r w:rsidR="00940320" w:rsidRPr="009C22AE">
        <w:rPr>
          <w:rFonts w:ascii="Arial" w:hAnsi="Arial" w:cs="Arial"/>
          <w:lang w:val="en-GB"/>
        </w:rPr>
        <w:t>.</w:t>
      </w:r>
    </w:p>
    <w:p w14:paraId="1CF80B81" w14:textId="15CF204F" w:rsidR="001A1C55" w:rsidRPr="009C22AE" w:rsidRDefault="001A1C55" w:rsidP="009C22AE">
      <w:pPr>
        <w:spacing w:after="0" w:line="360" w:lineRule="auto"/>
        <w:ind w:left="851" w:right="804"/>
        <w:jc w:val="right"/>
        <w:rPr>
          <w:rFonts w:ascii="Arial" w:hAnsi="Arial" w:cs="Arial"/>
          <w:lang w:val="en-GB"/>
        </w:rPr>
      </w:pPr>
      <w:r w:rsidRPr="009C22AE">
        <w:rPr>
          <w:rFonts w:ascii="Arial" w:hAnsi="Arial" w:cs="Arial"/>
          <w:lang w:val="en-GB"/>
        </w:rPr>
        <w:t>(PJCLE, 2017, 63).</w:t>
      </w:r>
    </w:p>
    <w:p w14:paraId="46173497" w14:textId="77777777" w:rsidR="009C22AE" w:rsidRPr="005D6BE9" w:rsidRDefault="009C22AE" w:rsidP="005D6BE9">
      <w:pPr>
        <w:spacing w:after="0" w:line="360" w:lineRule="auto"/>
        <w:ind w:left="720" w:right="1088"/>
        <w:jc w:val="right"/>
        <w:rPr>
          <w:rFonts w:ascii="Arial" w:hAnsi="Arial" w:cs="Arial"/>
          <w:lang w:val="en-GB"/>
        </w:rPr>
      </w:pPr>
    </w:p>
    <w:p w14:paraId="72DE0DDB" w14:textId="2FA8028D" w:rsidR="001A1C55" w:rsidRDefault="001A1C55" w:rsidP="005D6BE9">
      <w:pPr>
        <w:spacing w:after="0" w:line="360" w:lineRule="auto"/>
        <w:ind w:firstLine="720"/>
        <w:jc w:val="both"/>
        <w:rPr>
          <w:rFonts w:ascii="Arial" w:hAnsi="Arial" w:cs="Arial"/>
          <w:lang w:val="en-GB"/>
        </w:rPr>
      </w:pPr>
      <w:r w:rsidRPr="005D6BE9">
        <w:rPr>
          <w:rFonts w:ascii="Arial" w:hAnsi="Arial" w:cs="Arial"/>
          <w:lang w:val="en-GB"/>
        </w:rPr>
        <w:t>Collective Shout and CATWA are two prominent anti-sex work organi</w:t>
      </w:r>
      <w:r w:rsidR="004B58A4" w:rsidRPr="005D6BE9">
        <w:rPr>
          <w:rFonts w:ascii="Arial" w:hAnsi="Arial" w:cs="Arial"/>
          <w:lang w:val="en-GB"/>
        </w:rPr>
        <w:t>s</w:t>
      </w:r>
      <w:r w:rsidRPr="005D6BE9">
        <w:rPr>
          <w:rFonts w:ascii="Arial" w:hAnsi="Arial" w:cs="Arial"/>
          <w:lang w:val="en-GB"/>
        </w:rPr>
        <w:t xml:space="preserve">ations </w:t>
      </w:r>
      <w:r w:rsidR="004B58A4" w:rsidRPr="005D6BE9">
        <w:rPr>
          <w:rFonts w:ascii="Arial" w:hAnsi="Arial" w:cs="Arial"/>
          <w:lang w:val="en-GB"/>
        </w:rPr>
        <w:t xml:space="preserve">in Australia </w:t>
      </w:r>
      <w:r w:rsidRPr="005D6BE9">
        <w:rPr>
          <w:rFonts w:ascii="Arial" w:hAnsi="Arial" w:cs="Arial"/>
          <w:lang w:val="en-GB"/>
        </w:rPr>
        <w:t>that understands sex work to reinforce and strengthen gender-based inequality and thus view sex work to be closely aligned with sexual exploitation and trafficking (</w:t>
      </w:r>
      <w:r w:rsidR="00903769" w:rsidRPr="005D6BE9">
        <w:rPr>
          <w:rFonts w:ascii="Arial" w:hAnsi="Arial" w:cs="Arial"/>
          <w:lang w:val="en-GB"/>
        </w:rPr>
        <w:t>CATWA</w:t>
      </w:r>
      <w:r w:rsidRPr="005D6BE9">
        <w:rPr>
          <w:rFonts w:ascii="Arial" w:hAnsi="Arial" w:cs="Arial"/>
          <w:lang w:val="en-GB"/>
        </w:rPr>
        <w:t xml:space="preserve">, na, ‘About </w:t>
      </w:r>
      <w:r w:rsidR="00903769" w:rsidRPr="005D6BE9">
        <w:rPr>
          <w:rFonts w:ascii="Arial" w:hAnsi="Arial" w:cs="Arial"/>
          <w:lang w:val="en-GB"/>
        </w:rPr>
        <w:t>CATWA</w:t>
      </w:r>
      <w:r w:rsidRPr="005D6BE9">
        <w:rPr>
          <w:rFonts w:ascii="Arial" w:hAnsi="Arial" w:cs="Arial"/>
          <w:lang w:val="en-GB"/>
        </w:rPr>
        <w:t xml:space="preserve">’). In this light, the category involuntary human trafficking victim appears to be describing ‘women [who] are trafficked into the Australian sex industry on the promise of other types of work and/or under the guise of a student visa’. In other words, ‘involuntary human trafficking victims’ are presented to include ‘women’ who are duped and forced into sex work. The rationale presented in </w:t>
      </w:r>
      <w:r w:rsidRPr="005D6BE9">
        <w:rPr>
          <w:rFonts w:ascii="Arial" w:hAnsi="Arial" w:cs="Arial"/>
          <w:i/>
          <w:iCs/>
          <w:lang w:val="en-GB"/>
        </w:rPr>
        <w:t>the Human Trafficking Report</w:t>
      </w:r>
      <w:r w:rsidRPr="005D6BE9">
        <w:rPr>
          <w:rFonts w:ascii="Arial" w:hAnsi="Arial" w:cs="Arial"/>
          <w:lang w:val="en-GB"/>
        </w:rPr>
        <w:t xml:space="preserve"> also highlights that involuntary human trafficking victims are understood to be </w:t>
      </w:r>
      <w:r w:rsidR="00D85ADA" w:rsidRPr="005D6BE9">
        <w:rPr>
          <w:rFonts w:ascii="Arial" w:hAnsi="Arial" w:cs="Arial"/>
          <w:lang w:val="en-GB"/>
        </w:rPr>
        <w:t xml:space="preserve">the ‘real’ </w:t>
      </w:r>
      <w:r w:rsidRPr="005D6BE9">
        <w:rPr>
          <w:rFonts w:ascii="Arial" w:hAnsi="Arial" w:cs="Arial"/>
          <w:lang w:val="en-GB"/>
        </w:rPr>
        <w:t>sex trafficking victims. There is a body of research that argues that within human trafficking discourses, the re</w:t>
      </w:r>
      <w:r w:rsidR="00A71F03" w:rsidRPr="005D6BE9">
        <w:rPr>
          <w:rFonts w:ascii="Arial" w:hAnsi="Arial" w:cs="Arial"/>
          <w:lang w:val="en-GB"/>
        </w:rPr>
        <w:t xml:space="preserve">cognition of </w:t>
      </w:r>
      <w:r w:rsidRPr="005D6BE9">
        <w:rPr>
          <w:rFonts w:ascii="Arial" w:hAnsi="Arial" w:cs="Arial"/>
          <w:lang w:val="en-GB"/>
        </w:rPr>
        <w:t>victims “relies heavily on the distinction between ‘innocent victims’ of forced prostitution and ‘guilty sex workers’ who had foreknowledge of the fact they would be performing sexual labour</w:t>
      </w:r>
      <w:r w:rsidR="00472214" w:rsidRPr="005D6BE9">
        <w:rPr>
          <w:rFonts w:ascii="Arial" w:hAnsi="Arial" w:cs="Arial"/>
          <w:lang w:val="en-GB"/>
        </w:rPr>
        <w:t>”</w:t>
      </w:r>
      <w:r w:rsidRPr="005D6BE9">
        <w:rPr>
          <w:rFonts w:ascii="Arial" w:hAnsi="Arial" w:cs="Arial"/>
          <w:lang w:val="en-GB"/>
        </w:rPr>
        <w:t xml:space="preserve"> (Chapkis, 2005, 57-58) and support is only provided for the ‘innocent victims’ (Pearson, 2002; Davidson, 2006). By emphasi</w:t>
      </w:r>
      <w:r w:rsidR="00AC0A87" w:rsidRPr="005D6BE9">
        <w:rPr>
          <w:rFonts w:ascii="Arial" w:hAnsi="Arial" w:cs="Arial"/>
          <w:lang w:val="en-GB"/>
        </w:rPr>
        <w:t>s</w:t>
      </w:r>
      <w:r w:rsidRPr="005D6BE9">
        <w:rPr>
          <w:rFonts w:ascii="Arial" w:hAnsi="Arial" w:cs="Arial"/>
          <w:lang w:val="en-GB"/>
        </w:rPr>
        <w:t>ing the lack of agency of the involuntary human trafficking victims through the use of the term ‘involuntary’ as well as describing the category to include ‘women’ who are tricked and forced into operating in the sex industry</w:t>
      </w:r>
      <w:r w:rsidR="008C4A34" w:rsidRPr="005D6BE9">
        <w:rPr>
          <w:rFonts w:ascii="Arial" w:hAnsi="Arial" w:cs="Arial"/>
          <w:lang w:val="en-GB"/>
        </w:rPr>
        <w:t>,</w:t>
      </w:r>
      <w:r w:rsidRPr="005D6BE9">
        <w:rPr>
          <w:rFonts w:ascii="Arial" w:hAnsi="Arial" w:cs="Arial"/>
          <w:lang w:val="en-GB"/>
        </w:rPr>
        <w:t xml:space="preserve"> the Report is signalling </w:t>
      </w:r>
      <w:r w:rsidRPr="005D6BE9">
        <w:rPr>
          <w:rFonts w:ascii="Arial" w:hAnsi="Arial" w:cs="Arial"/>
          <w:lang w:val="en-GB"/>
        </w:rPr>
        <w:lastRenderedPageBreak/>
        <w:t xml:space="preserve">for the category involuntary human trafficking victims to be recognised as the </w:t>
      </w:r>
      <w:r w:rsidR="00C63BA4" w:rsidRPr="005D6BE9">
        <w:rPr>
          <w:rFonts w:ascii="Arial" w:hAnsi="Arial" w:cs="Arial"/>
          <w:lang w:val="en-GB"/>
        </w:rPr>
        <w:t xml:space="preserve">real </w:t>
      </w:r>
      <w:r w:rsidRPr="005D6BE9">
        <w:rPr>
          <w:rFonts w:ascii="Arial" w:hAnsi="Arial" w:cs="Arial"/>
          <w:lang w:val="en-GB"/>
        </w:rPr>
        <w:t>victims of human trafficking.</w:t>
      </w:r>
    </w:p>
    <w:p w14:paraId="5B769F1B" w14:textId="77777777" w:rsidR="009C22AE" w:rsidRPr="005D6BE9" w:rsidRDefault="009C22AE" w:rsidP="005D6BE9">
      <w:pPr>
        <w:spacing w:after="0" w:line="360" w:lineRule="auto"/>
        <w:ind w:firstLine="720"/>
        <w:jc w:val="both"/>
        <w:rPr>
          <w:rFonts w:ascii="Arial" w:hAnsi="Arial" w:cs="Arial"/>
          <w:lang w:val="en-GB"/>
        </w:rPr>
      </w:pPr>
    </w:p>
    <w:p w14:paraId="4BC67B07" w14:textId="57647F50" w:rsidR="001A1C55" w:rsidRDefault="001A1C55" w:rsidP="005D6BE9">
      <w:pPr>
        <w:spacing w:after="0" w:line="360" w:lineRule="auto"/>
        <w:ind w:firstLine="720"/>
        <w:jc w:val="both"/>
        <w:rPr>
          <w:rFonts w:ascii="Arial" w:hAnsi="Arial" w:cs="Arial"/>
          <w:lang w:val="en-GB"/>
        </w:rPr>
      </w:pPr>
      <w:r w:rsidRPr="005D6BE9">
        <w:rPr>
          <w:rFonts w:ascii="Arial" w:hAnsi="Arial" w:cs="Arial"/>
          <w:lang w:val="en-GB"/>
        </w:rPr>
        <w:t xml:space="preserve">The construction of involuntary human trafficking victims as duped into sex work is in </w:t>
      </w:r>
      <w:r w:rsidR="00C63BA4" w:rsidRPr="005D6BE9">
        <w:rPr>
          <w:rFonts w:ascii="Arial" w:hAnsi="Arial" w:cs="Arial"/>
          <w:lang w:val="en-GB"/>
        </w:rPr>
        <w:t>c</w:t>
      </w:r>
      <w:r w:rsidRPr="005D6BE9">
        <w:rPr>
          <w:rFonts w:ascii="Arial" w:hAnsi="Arial" w:cs="Arial"/>
          <w:lang w:val="en-GB"/>
        </w:rPr>
        <w:t>ontrast to the representation of migrant sex workers as willing sex workers who are responsibilised subjects. It appears, then, that migrant sex workers are excluded from the involuntary human trafficking victim</w:t>
      </w:r>
      <w:r w:rsidR="00E31D85" w:rsidRPr="005D6BE9">
        <w:rPr>
          <w:rFonts w:ascii="Arial" w:hAnsi="Arial" w:cs="Arial"/>
          <w:lang w:val="en-GB"/>
        </w:rPr>
        <w:t xml:space="preserve"> </w:t>
      </w:r>
      <w:r w:rsidRPr="005D6BE9">
        <w:rPr>
          <w:rFonts w:ascii="Arial" w:hAnsi="Arial" w:cs="Arial"/>
          <w:lang w:val="en-GB"/>
        </w:rPr>
        <w:t>category and as a result the</w:t>
      </w:r>
      <w:r w:rsidR="002B324A" w:rsidRPr="005D6BE9">
        <w:rPr>
          <w:rFonts w:ascii="Arial" w:hAnsi="Arial" w:cs="Arial"/>
          <w:lang w:val="en-GB"/>
        </w:rPr>
        <w:t xml:space="preserve"> broader</w:t>
      </w:r>
      <w:r w:rsidRPr="005D6BE9">
        <w:rPr>
          <w:rFonts w:ascii="Arial" w:hAnsi="Arial" w:cs="Arial"/>
          <w:lang w:val="en-GB"/>
        </w:rPr>
        <w:t xml:space="preserve"> victim category. In this light, the </w:t>
      </w:r>
      <w:r w:rsidR="0086495D" w:rsidRPr="005D6BE9">
        <w:rPr>
          <w:rFonts w:ascii="Arial" w:hAnsi="Arial" w:cs="Arial"/>
          <w:i/>
          <w:iCs/>
          <w:lang w:val="en-GB"/>
        </w:rPr>
        <w:t>HPSR</w:t>
      </w:r>
      <w:r w:rsidRPr="005D6BE9">
        <w:rPr>
          <w:rFonts w:ascii="Arial" w:hAnsi="Arial" w:cs="Arial"/>
          <w:lang w:val="en-GB"/>
        </w:rPr>
        <w:t xml:space="preserve"> appears to be re-producing the dividing practice originally observed in the </w:t>
      </w:r>
      <w:r w:rsidRPr="005D6BE9">
        <w:rPr>
          <w:rFonts w:ascii="Arial" w:hAnsi="Arial" w:cs="Arial"/>
          <w:i/>
          <w:iCs/>
          <w:lang w:val="en-GB"/>
        </w:rPr>
        <w:t>Crimes Amendment Report</w:t>
      </w:r>
      <w:r w:rsidRPr="005D6BE9">
        <w:rPr>
          <w:rFonts w:ascii="Arial" w:hAnsi="Arial" w:cs="Arial"/>
          <w:lang w:val="en-GB"/>
        </w:rPr>
        <w:t xml:space="preserve"> (2012) whereby migrant sex workers were constructed as different to victims.   </w:t>
      </w:r>
    </w:p>
    <w:p w14:paraId="45750F08" w14:textId="77777777" w:rsidR="00761DD6" w:rsidRPr="005D6BE9" w:rsidRDefault="00761DD6" w:rsidP="005D6BE9">
      <w:pPr>
        <w:spacing w:after="0" w:line="360" w:lineRule="auto"/>
        <w:ind w:firstLine="720"/>
        <w:jc w:val="both"/>
        <w:rPr>
          <w:rFonts w:ascii="Arial" w:hAnsi="Arial" w:cs="Arial"/>
          <w:lang w:val="en-GB"/>
        </w:rPr>
      </w:pPr>
    </w:p>
    <w:p w14:paraId="68205E25" w14:textId="5A260972" w:rsidR="00E2721B" w:rsidRPr="005D6BE9" w:rsidRDefault="00D05265" w:rsidP="005D6BE9">
      <w:pPr>
        <w:spacing w:after="0" w:line="360" w:lineRule="auto"/>
        <w:ind w:firstLine="720"/>
        <w:jc w:val="both"/>
        <w:rPr>
          <w:rFonts w:ascii="Arial" w:hAnsi="Arial" w:cs="Arial"/>
          <w:b/>
          <w:bCs/>
          <w:lang w:val="en-GB"/>
        </w:rPr>
      </w:pPr>
      <w:r w:rsidRPr="005D6BE9">
        <w:rPr>
          <w:rFonts w:ascii="Arial" w:hAnsi="Arial" w:cs="Arial"/>
          <w:lang w:val="en-GB"/>
        </w:rPr>
        <w:t xml:space="preserve">The application of the WPR methodology in this section brought to light the function of the key concept ‘sex trafficking’ and the categories ‘migrant sex worker’ and ‘involuntary victim of human trafficking’. Taking a closer look at the key categories, </w:t>
      </w:r>
      <w:r w:rsidR="00751E69" w:rsidRPr="005D6BE9">
        <w:rPr>
          <w:rFonts w:ascii="Arial" w:hAnsi="Arial" w:cs="Arial"/>
          <w:lang w:val="en-GB"/>
        </w:rPr>
        <w:t xml:space="preserve">it was observed that </w:t>
      </w:r>
      <w:r w:rsidRPr="005D6BE9">
        <w:rPr>
          <w:rFonts w:ascii="Arial" w:hAnsi="Arial" w:cs="Arial"/>
          <w:lang w:val="en-GB"/>
        </w:rPr>
        <w:t xml:space="preserve">involuntary human trafficking victim </w:t>
      </w:r>
      <w:r w:rsidR="00ED4D96" w:rsidRPr="005D6BE9">
        <w:rPr>
          <w:rFonts w:ascii="Arial" w:hAnsi="Arial" w:cs="Arial"/>
          <w:lang w:val="en-GB"/>
        </w:rPr>
        <w:t xml:space="preserve">category </w:t>
      </w:r>
      <w:r w:rsidRPr="005D6BE9">
        <w:rPr>
          <w:rFonts w:ascii="Arial" w:hAnsi="Arial" w:cs="Arial"/>
          <w:lang w:val="en-GB"/>
        </w:rPr>
        <w:t xml:space="preserve">was constructed in </w:t>
      </w:r>
      <w:r w:rsidR="0037520D" w:rsidRPr="005D6BE9">
        <w:rPr>
          <w:rFonts w:ascii="Arial" w:hAnsi="Arial" w:cs="Arial"/>
          <w:lang w:val="en-GB"/>
        </w:rPr>
        <w:t>opposition</w:t>
      </w:r>
      <w:r w:rsidRPr="005D6BE9">
        <w:rPr>
          <w:rFonts w:ascii="Arial" w:hAnsi="Arial" w:cs="Arial"/>
          <w:lang w:val="en-GB"/>
        </w:rPr>
        <w:t xml:space="preserve"> to </w:t>
      </w:r>
      <w:r w:rsidR="00FB3F1A" w:rsidRPr="005D6BE9">
        <w:rPr>
          <w:rFonts w:ascii="Arial" w:hAnsi="Arial" w:cs="Arial"/>
          <w:lang w:val="en-GB"/>
        </w:rPr>
        <w:t xml:space="preserve">the </w:t>
      </w:r>
      <w:r w:rsidRPr="005D6BE9">
        <w:rPr>
          <w:rFonts w:ascii="Arial" w:hAnsi="Arial" w:cs="Arial"/>
          <w:lang w:val="en-GB"/>
        </w:rPr>
        <w:t>migrant sex worker</w:t>
      </w:r>
      <w:r w:rsidR="00ED4D96" w:rsidRPr="005D6BE9">
        <w:rPr>
          <w:rFonts w:ascii="Arial" w:hAnsi="Arial" w:cs="Arial"/>
          <w:lang w:val="en-GB"/>
        </w:rPr>
        <w:t xml:space="preserve"> category</w:t>
      </w:r>
      <w:r w:rsidRPr="005D6BE9">
        <w:rPr>
          <w:rFonts w:ascii="Arial" w:hAnsi="Arial" w:cs="Arial"/>
          <w:lang w:val="en-GB"/>
        </w:rPr>
        <w:t xml:space="preserve"> whereby the former is constructed as duped into sex work whereas the latter is represented as willing sex workers who are responsibilised subjects. The analysis of the ‘Labour Exploitation and Australia’s Visa Framework Chapter’ highlighted that a similar discourse is being utili</w:t>
      </w:r>
      <w:r w:rsidR="00B77F36" w:rsidRPr="005D6BE9">
        <w:rPr>
          <w:rFonts w:ascii="Arial" w:hAnsi="Arial" w:cs="Arial"/>
          <w:lang w:val="en-GB"/>
        </w:rPr>
        <w:t>s</w:t>
      </w:r>
      <w:r w:rsidRPr="005D6BE9">
        <w:rPr>
          <w:rFonts w:ascii="Arial" w:hAnsi="Arial" w:cs="Arial"/>
          <w:lang w:val="en-GB"/>
        </w:rPr>
        <w:t xml:space="preserve">ed to define all migrant workers irrespective of the industry they are operating in whereby migrant workers, like migrant sex workers, are constructed as responsibilised subjects who are </w:t>
      </w:r>
      <w:r w:rsidR="005E4295" w:rsidRPr="005D6BE9">
        <w:rPr>
          <w:rFonts w:ascii="Arial" w:hAnsi="Arial" w:cs="Arial"/>
          <w:lang w:val="en-GB"/>
        </w:rPr>
        <w:t>culpable</w:t>
      </w:r>
      <w:r w:rsidRPr="005D6BE9">
        <w:rPr>
          <w:rFonts w:ascii="Arial" w:hAnsi="Arial" w:cs="Arial"/>
          <w:lang w:val="en-GB"/>
        </w:rPr>
        <w:t xml:space="preserve"> for their exploitation. With this in mind, the next section will speculate on what effects are produced by the deployment of these assumptions within the</w:t>
      </w:r>
      <w:r w:rsidRPr="005D6BE9">
        <w:rPr>
          <w:rFonts w:ascii="Arial" w:hAnsi="Arial" w:cs="Arial"/>
          <w:i/>
          <w:iCs/>
          <w:lang w:val="en-GB"/>
        </w:rPr>
        <w:t xml:space="preserve"> HPSR</w:t>
      </w:r>
      <w:r w:rsidRPr="005D6BE9">
        <w:rPr>
          <w:rFonts w:ascii="Arial" w:hAnsi="Arial" w:cs="Arial"/>
          <w:lang w:val="en-GB"/>
        </w:rPr>
        <w:t>. By questioning and analysing the discourses and silences within the Report, the next section will also discuss how things could be viewed differently.</w:t>
      </w:r>
    </w:p>
    <w:p w14:paraId="044193EB" w14:textId="77777777" w:rsidR="004933D0" w:rsidRPr="005D6BE9" w:rsidRDefault="004933D0" w:rsidP="005D6BE9">
      <w:pPr>
        <w:spacing w:after="0" w:line="360" w:lineRule="auto"/>
        <w:jc w:val="both"/>
        <w:rPr>
          <w:rFonts w:ascii="Arial" w:hAnsi="Arial" w:cs="Arial"/>
          <w:b/>
          <w:bCs/>
          <w:lang w:val="en-GB"/>
        </w:rPr>
      </w:pPr>
    </w:p>
    <w:p w14:paraId="0BA7B07C" w14:textId="36CE801F" w:rsidR="00F7624D" w:rsidRDefault="00761E08" w:rsidP="005D6BE9">
      <w:pPr>
        <w:spacing w:after="0" w:line="360" w:lineRule="auto"/>
        <w:jc w:val="both"/>
        <w:rPr>
          <w:rFonts w:ascii="Arial" w:hAnsi="Arial" w:cs="Arial"/>
          <w:b/>
          <w:bCs/>
          <w:i/>
          <w:iCs/>
          <w:lang w:val="en-GB"/>
        </w:rPr>
      </w:pPr>
      <w:r w:rsidRPr="005D6BE9">
        <w:rPr>
          <w:rFonts w:ascii="Arial" w:hAnsi="Arial" w:cs="Arial"/>
          <w:b/>
          <w:bCs/>
          <w:i/>
          <w:iCs/>
          <w:lang w:val="en-GB"/>
        </w:rPr>
        <w:t>Discussion</w:t>
      </w:r>
    </w:p>
    <w:p w14:paraId="2B15F36A" w14:textId="77777777" w:rsidR="00761DD6" w:rsidRPr="005D6BE9" w:rsidRDefault="00761DD6" w:rsidP="005D6BE9">
      <w:pPr>
        <w:spacing w:after="0" w:line="360" w:lineRule="auto"/>
        <w:jc w:val="both"/>
        <w:rPr>
          <w:rFonts w:ascii="Arial" w:hAnsi="Arial" w:cs="Arial"/>
          <w:b/>
          <w:bCs/>
          <w:i/>
          <w:iCs/>
          <w:lang w:val="en-GB"/>
        </w:rPr>
      </w:pPr>
    </w:p>
    <w:p w14:paraId="40A6498E" w14:textId="0427EE4C" w:rsidR="00E855C1" w:rsidRDefault="00F90222" w:rsidP="005D6BE9">
      <w:pPr>
        <w:spacing w:after="0" w:line="360" w:lineRule="auto"/>
        <w:jc w:val="both"/>
        <w:rPr>
          <w:rFonts w:ascii="Arial" w:hAnsi="Arial" w:cs="Arial"/>
          <w:lang w:val="en-GB"/>
        </w:rPr>
      </w:pPr>
      <w:r w:rsidRPr="005D6BE9">
        <w:rPr>
          <w:rFonts w:ascii="Arial" w:hAnsi="Arial" w:cs="Arial"/>
          <w:lang w:val="en-GB"/>
        </w:rPr>
        <w:t xml:space="preserve">The </w:t>
      </w:r>
      <w:r w:rsidRPr="005D6BE9">
        <w:rPr>
          <w:rFonts w:ascii="Arial" w:hAnsi="Arial" w:cs="Arial"/>
          <w:i/>
          <w:iCs/>
          <w:lang w:val="en-GB"/>
        </w:rPr>
        <w:t xml:space="preserve">HPSR’s </w:t>
      </w:r>
      <w:r w:rsidR="00DE0E42" w:rsidRPr="005D6BE9">
        <w:rPr>
          <w:rFonts w:ascii="Arial" w:hAnsi="Arial" w:cs="Arial"/>
          <w:lang w:val="en-GB"/>
        </w:rPr>
        <w:t>endorsement of t</w:t>
      </w:r>
      <w:r w:rsidR="00E35CC7" w:rsidRPr="005D6BE9">
        <w:rPr>
          <w:rFonts w:ascii="Arial" w:hAnsi="Arial" w:cs="Arial"/>
          <w:lang w:val="en-GB"/>
        </w:rPr>
        <w:t>he recommendation to ‘support and fund initiatives to inform migrant sex workers about their rights and obligations’ (JFADT, 2017, 215-216) was underpinned by the assumption that migrant sex workers can prevent their own exploitation given the right information</w:t>
      </w:r>
      <w:r w:rsidR="00865187" w:rsidRPr="005D6BE9">
        <w:rPr>
          <w:rFonts w:ascii="Arial" w:hAnsi="Arial" w:cs="Arial"/>
          <w:lang w:val="en-GB"/>
        </w:rPr>
        <w:t xml:space="preserve">. </w:t>
      </w:r>
      <w:r w:rsidR="00046387" w:rsidRPr="005D6BE9">
        <w:rPr>
          <w:rFonts w:ascii="Arial" w:hAnsi="Arial" w:cs="Arial"/>
          <w:lang w:val="en-GB"/>
        </w:rPr>
        <w:t xml:space="preserve">Returning to the original policy document the recommendation was retrieved from, the rationale for initiatives to inform migrant sex workers about their rights and obligations (JFADT, 2017) also revealed that, for whatever reason, migrant sex workers are assumed to be unwilling to prevent their own exploitation. </w:t>
      </w:r>
      <w:r w:rsidR="00E855C1" w:rsidRPr="005D6BE9">
        <w:rPr>
          <w:rFonts w:ascii="Arial" w:hAnsi="Arial" w:cs="Arial"/>
          <w:lang w:val="en-GB"/>
        </w:rPr>
        <w:t xml:space="preserve"> </w:t>
      </w:r>
    </w:p>
    <w:p w14:paraId="0AED8359" w14:textId="77777777" w:rsidR="00761DD6" w:rsidRPr="005D6BE9" w:rsidRDefault="00761DD6" w:rsidP="005D6BE9">
      <w:pPr>
        <w:spacing w:after="0" w:line="360" w:lineRule="auto"/>
        <w:jc w:val="both"/>
        <w:rPr>
          <w:rFonts w:ascii="Arial" w:hAnsi="Arial" w:cs="Arial"/>
          <w:lang w:val="en-GB"/>
        </w:rPr>
      </w:pPr>
    </w:p>
    <w:p w14:paraId="770CA0F1" w14:textId="54D4A77A" w:rsidR="00F81CAB" w:rsidRDefault="00E855C1" w:rsidP="005D6BE9">
      <w:pPr>
        <w:spacing w:after="0" w:line="360" w:lineRule="auto"/>
        <w:ind w:firstLine="720"/>
        <w:jc w:val="both"/>
        <w:rPr>
          <w:rFonts w:ascii="Arial" w:hAnsi="Arial" w:cs="Arial"/>
          <w:lang w:val="en-GB"/>
        </w:rPr>
      </w:pPr>
      <w:r w:rsidRPr="005D6BE9">
        <w:rPr>
          <w:rFonts w:ascii="Arial" w:hAnsi="Arial" w:cs="Arial"/>
          <w:lang w:val="en-GB"/>
        </w:rPr>
        <w:lastRenderedPageBreak/>
        <w:t>The WPR analysis suggested that the construction of migrant sex workers as able to prevent their own exploitation but unwilling to do so was not unique to the ‘Sex Trafficking’ chapter. The ‘Labour Exploitation and Australia’s Visa Framework’ chapter</w:t>
      </w:r>
      <w:r w:rsidR="009C6B43" w:rsidRPr="005D6BE9">
        <w:rPr>
          <w:rFonts w:ascii="Arial" w:hAnsi="Arial" w:cs="Arial"/>
          <w:lang w:val="en-GB"/>
        </w:rPr>
        <w:t xml:space="preserve"> of the </w:t>
      </w:r>
      <w:r w:rsidR="009C6B43" w:rsidRPr="005D6BE9">
        <w:rPr>
          <w:rFonts w:ascii="Arial" w:hAnsi="Arial" w:cs="Arial"/>
          <w:i/>
          <w:iCs/>
          <w:lang w:val="en-GB"/>
        </w:rPr>
        <w:t>HPSR</w:t>
      </w:r>
      <w:r w:rsidRPr="005D6BE9">
        <w:rPr>
          <w:rFonts w:ascii="Arial" w:hAnsi="Arial" w:cs="Arial"/>
          <w:lang w:val="en-GB"/>
        </w:rPr>
        <w:t xml:space="preserve"> similarly constructed migrant workers as able to prevent their own exploitation but unwilling to do so. </w:t>
      </w:r>
      <w:r w:rsidR="006B29ED" w:rsidRPr="005D6BE9">
        <w:rPr>
          <w:rFonts w:ascii="Arial" w:hAnsi="Arial" w:cs="Arial"/>
          <w:lang w:val="en-GB"/>
        </w:rPr>
        <w:t xml:space="preserve">While the construction of </w:t>
      </w:r>
      <w:r w:rsidR="00A063B0" w:rsidRPr="005D6BE9">
        <w:rPr>
          <w:rFonts w:ascii="Arial" w:hAnsi="Arial" w:cs="Arial"/>
          <w:lang w:val="en-GB"/>
        </w:rPr>
        <w:t xml:space="preserve">migrant sex workers and migrant workers in a similar </w:t>
      </w:r>
      <w:r w:rsidR="009051E5" w:rsidRPr="005D6BE9">
        <w:rPr>
          <w:rFonts w:ascii="Arial" w:hAnsi="Arial" w:cs="Arial"/>
          <w:lang w:val="en-GB"/>
        </w:rPr>
        <w:t>way</w:t>
      </w:r>
      <w:r w:rsidR="00870B36" w:rsidRPr="005D6BE9">
        <w:rPr>
          <w:rFonts w:ascii="Arial" w:hAnsi="Arial" w:cs="Arial"/>
          <w:lang w:val="en-GB"/>
        </w:rPr>
        <w:t xml:space="preserve"> may suggest that the Report </w:t>
      </w:r>
      <w:r w:rsidR="008F49F2" w:rsidRPr="005D6BE9">
        <w:rPr>
          <w:rFonts w:ascii="Arial" w:hAnsi="Arial" w:cs="Arial"/>
          <w:lang w:val="en-GB"/>
        </w:rPr>
        <w:t xml:space="preserve">is </w:t>
      </w:r>
      <w:r w:rsidR="0098552E" w:rsidRPr="005D6BE9">
        <w:rPr>
          <w:rFonts w:ascii="Arial" w:hAnsi="Arial" w:cs="Arial"/>
          <w:lang w:val="en-GB"/>
        </w:rPr>
        <w:t>understanding sex workers by the same set of assumptions as other legitimate workers, a privileging of a broader discourse is also evident.</w:t>
      </w:r>
      <w:r w:rsidR="009F6865" w:rsidRPr="005D6BE9">
        <w:rPr>
          <w:rFonts w:ascii="Arial" w:hAnsi="Arial" w:cs="Arial"/>
          <w:lang w:val="en-GB"/>
        </w:rPr>
        <w:t xml:space="preserve"> </w:t>
      </w:r>
      <w:r w:rsidR="00E31B8D" w:rsidRPr="005D6BE9">
        <w:rPr>
          <w:rFonts w:ascii="Arial" w:hAnsi="Arial" w:cs="Arial"/>
          <w:lang w:val="en-GB"/>
        </w:rPr>
        <w:t xml:space="preserve">The construction </w:t>
      </w:r>
      <w:r w:rsidR="00D4438E" w:rsidRPr="005D6BE9">
        <w:rPr>
          <w:rFonts w:ascii="Arial" w:hAnsi="Arial" w:cs="Arial"/>
          <w:lang w:val="en-GB"/>
        </w:rPr>
        <w:t xml:space="preserve">of migrant sex workers and migrant workers as responsibilised subjects who </w:t>
      </w:r>
      <w:r w:rsidR="00723F74" w:rsidRPr="005D6BE9">
        <w:rPr>
          <w:rFonts w:ascii="Arial" w:hAnsi="Arial" w:cs="Arial"/>
          <w:lang w:val="en-GB"/>
        </w:rPr>
        <w:t xml:space="preserve">are unwilling to prevent their own exploitation and therefore are </w:t>
      </w:r>
      <w:r w:rsidR="00AE2470" w:rsidRPr="005D6BE9">
        <w:rPr>
          <w:rFonts w:ascii="Arial" w:hAnsi="Arial" w:cs="Arial"/>
          <w:lang w:val="en-GB"/>
        </w:rPr>
        <w:t>culpable for their exploitation constructs these groups as the problem</w:t>
      </w:r>
      <w:r w:rsidR="00C420F0" w:rsidRPr="005D6BE9">
        <w:rPr>
          <w:rFonts w:ascii="Arial" w:hAnsi="Arial" w:cs="Arial"/>
          <w:lang w:val="en-GB"/>
        </w:rPr>
        <w:t xml:space="preserve">. Constructing these people categories as the problem has the effect of </w:t>
      </w:r>
      <w:r w:rsidR="00AE2470" w:rsidRPr="005D6BE9">
        <w:rPr>
          <w:rFonts w:ascii="Arial" w:hAnsi="Arial" w:cs="Arial"/>
          <w:lang w:val="en-GB"/>
        </w:rPr>
        <w:t xml:space="preserve">overshadowing the structural factors that increase </w:t>
      </w:r>
      <w:r w:rsidR="00E70411" w:rsidRPr="005D6BE9">
        <w:rPr>
          <w:rFonts w:ascii="Arial" w:hAnsi="Arial" w:cs="Arial"/>
          <w:lang w:val="en-GB"/>
        </w:rPr>
        <w:t xml:space="preserve">all </w:t>
      </w:r>
      <w:r w:rsidR="00AE2470" w:rsidRPr="005D6BE9">
        <w:rPr>
          <w:rFonts w:ascii="Arial" w:hAnsi="Arial" w:cs="Arial"/>
          <w:lang w:val="en-GB"/>
        </w:rPr>
        <w:t xml:space="preserve">migrant workers exposure to exploitative working conditions and create barriers to accessing support. </w:t>
      </w:r>
      <w:r w:rsidR="00B8762C" w:rsidRPr="005D6BE9">
        <w:rPr>
          <w:rFonts w:ascii="Arial" w:hAnsi="Arial" w:cs="Arial"/>
          <w:lang w:val="en-GB"/>
        </w:rPr>
        <w:t>I</w:t>
      </w:r>
      <w:r w:rsidR="00F81CAB" w:rsidRPr="005D6BE9">
        <w:rPr>
          <w:rFonts w:ascii="Arial" w:hAnsi="Arial" w:cs="Arial"/>
          <w:lang w:val="en-GB"/>
        </w:rPr>
        <w:t xml:space="preserve">t </w:t>
      </w:r>
      <w:r w:rsidR="00B8762C" w:rsidRPr="005D6BE9">
        <w:rPr>
          <w:rFonts w:ascii="Arial" w:hAnsi="Arial" w:cs="Arial"/>
          <w:lang w:val="en-GB"/>
        </w:rPr>
        <w:t xml:space="preserve">also </w:t>
      </w:r>
      <w:r w:rsidR="00F81CAB" w:rsidRPr="005D6BE9">
        <w:rPr>
          <w:rFonts w:ascii="Arial" w:hAnsi="Arial" w:cs="Arial"/>
          <w:lang w:val="en-GB"/>
        </w:rPr>
        <w:t xml:space="preserve">has the </w:t>
      </w:r>
      <w:r w:rsidR="00AE2470" w:rsidRPr="005D6BE9">
        <w:rPr>
          <w:rFonts w:ascii="Arial" w:hAnsi="Arial" w:cs="Arial"/>
          <w:lang w:val="en-GB"/>
        </w:rPr>
        <w:t xml:space="preserve">effect of reinforcing existing power dynamics whereby the Report can position its role in the human trafficking response as </w:t>
      </w:r>
      <w:r w:rsidR="00E70411" w:rsidRPr="005D6BE9">
        <w:rPr>
          <w:rFonts w:ascii="Arial" w:hAnsi="Arial" w:cs="Arial"/>
          <w:lang w:val="en-GB"/>
        </w:rPr>
        <w:t xml:space="preserve">benevolent </w:t>
      </w:r>
      <w:r w:rsidR="00625BD3" w:rsidRPr="005D6BE9">
        <w:rPr>
          <w:rFonts w:ascii="Arial" w:hAnsi="Arial" w:cs="Arial"/>
          <w:lang w:val="en-GB"/>
        </w:rPr>
        <w:t xml:space="preserve">and paternalistic </w:t>
      </w:r>
      <w:r w:rsidR="00F81CAB" w:rsidRPr="005D6BE9">
        <w:rPr>
          <w:rFonts w:ascii="Arial" w:hAnsi="Arial" w:cs="Arial"/>
          <w:lang w:val="en-GB"/>
        </w:rPr>
        <w:t xml:space="preserve">while not </w:t>
      </w:r>
      <w:r w:rsidR="00254A25" w:rsidRPr="005D6BE9">
        <w:rPr>
          <w:rFonts w:ascii="Arial" w:hAnsi="Arial" w:cs="Arial"/>
          <w:lang w:val="en-GB"/>
        </w:rPr>
        <w:t>taking action on</w:t>
      </w:r>
      <w:r w:rsidR="00F81CAB" w:rsidRPr="005D6BE9">
        <w:rPr>
          <w:rFonts w:ascii="Arial" w:hAnsi="Arial" w:cs="Arial"/>
          <w:lang w:val="en-GB"/>
        </w:rPr>
        <w:t xml:space="preserve"> the </w:t>
      </w:r>
      <w:r w:rsidR="00254A25" w:rsidRPr="005D6BE9">
        <w:rPr>
          <w:rFonts w:ascii="Arial" w:hAnsi="Arial" w:cs="Arial"/>
          <w:lang w:val="en-GB"/>
        </w:rPr>
        <w:t>broader structural causes</w:t>
      </w:r>
      <w:r w:rsidR="00F81CAB" w:rsidRPr="005D6BE9">
        <w:rPr>
          <w:rFonts w:ascii="Arial" w:hAnsi="Arial" w:cs="Arial"/>
          <w:lang w:val="en-GB"/>
        </w:rPr>
        <w:t xml:space="preserve"> of exploitation. </w:t>
      </w:r>
    </w:p>
    <w:p w14:paraId="7D29CB5C" w14:textId="77777777" w:rsidR="00761DD6" w:rsidRPr="005D6BE9" w:rsidRDefault="00761DD6" w:rsidP="005D6BE9">
      <w:pPr>
        <w:spacing w:after="0" w:line="360" w:lineRule="auto"/>
        <w:ind w:firstLine="720"/>
        <w:jc w:val="both"/>
        <w:rPr>
          <w:rFonts w:ascii="Arial" w:hAnsi="Arial" w:cs="Arial"/>
          <w:lang w:val="en-GB"/>
        </w:rPr>
      </w:pPr>
    </w:p>
    <w:p w14:paraId="34116F11" w14:textId="5EDFCFBD" w:rsidR="00E855C1" w:rsidRPr="005D6BE9" w:rsidRDefault="00E855C1" w:rsidP="005D6BE9">
      <w:pPr>
        <w:spacing w:after="0" w:line="360" w:lineRule="auto"/>
        <w:ind w:firstLine="720"/>
        <w:jc w:val="both"/>
        <w:rPr>
          <w:rFonts w:ascii="Arial" w:hAnsi="Arial" w:cs="Arial"/>
          <w:lang w:val="en-GB"/>
        </w:rPr>
      </w:pPr>
      <w:r w:rsidRPr="005D6BE9">
        <w:rPr>
          <w:rFonts w:ascii="Arial" w:hAnsi="Arial" w:cs="Arial"/>
          <w:lang w:val="en-GB"/>
        </w:rPr>
        <w:t>The</w:t>
      </w:r>
      <w:r w:rsidRPr="005D6BE9">
        <w:rPr>
          <w:rFonts w:ascii="Arial" w:hAnsi="Arial" w:cs="Arial"/>
          <w:i/>
          <w:iCs/>
          <w:lang w:val="en-GB"/>
        </w:rPr>
        <w:t xml:space="preserve"> </w:t>
      </w:r>
      <w:r w:rsidRPr="005D6BE9">
        <w:rPr>
          <w:rFonts w:ascii="Arial" w:hAnsi="Arial" w:cs="Arial"/>
          <w:lang w:val="en-GB"/>
        </w:rPr>
        <w:t>analysis</w:t>
      </w:r>
      <w:r w:rsidRPr="005D6BE9">
        <w:rPr>
          <w:rFonts w:ascii="Arial" w:hAnsi="Arial" w:cs="Arial"/>
          <w:i/>
          <w:iCs/>
          <w:lang w:val="en-GB"/>
        </w:rPr>
        <w:t xml:space="preserve"> </w:t>
      </w:r>
      <w:r w:rsidRPr="005D6BE9">
        <w:rPr>
          <w:rFonts w:ascii="Arial" w:hAnsi="Arial" w:cs="Arial"/>
          <w:lang w:val="en-GB"/>
        </w:rPr>
        <w:t xml:space="preserve">also highlighted the introduction of the new category involuntary human trafficking victim. It was argued that this category is constructed to include the </w:t>
      </w:r>
      <w:r w:rsidR="00C10D10" w:rsidRPr="005D6BE9">
        <w:rPr>
          <w:rFonts w:ascii="Arial" w:hAnsi="Arial" w:cs="Arial"/>
          <w:lang w:val="en-GB"/>
        </w:rPr>
        <w:t xml:space="preserve">real </w:t>
      </w:r>
      <w:r w:rsidRPr="005D6BE9">
        <w:rPr>
          <w:rFonts w:ascii="Arial" w:hAnsi="Arial" w:cs="Arial"/>
          <w:lang w:val="en-GB"/>
        </w:rPr>
        <w:t xml:space="preserve">victims of </w:t>
      </w:r>
      <w:r w:rsidR="00C73450" w:rsidRPr="005D6BE9">
        <w:rPr>
          <w:rFonts w:ascii="Arial" w:hAnsi="Arial" w:cs="Arial"/>
          <w:lang w:val="en-GB"/>
        </w:rPr>
        <w:t>human trafficking</w:t>
      </w:r>
      <w:r w:rsidRPr="005D6BE9">
        <w:rPr>
          <w:rFonts w:ascii="Arial" w:hAnsi="Arial" w:cs="Arial"/>
          <w:lang w:val="en-GB"/>
        </w:rPr>
        <w:t xml:space="preserve"> in the sex industry. The analysis thus exposed the way the </w:t>
      </w:r>
      <w:r w:rsidR="00B8476A" w:rsidRPr="005D6BE9">
        <w:rPr>
          <w:rFonts w:ascii="Arial" w:hAnsi="Arial" w:cs="Arial"/>
          <w:lang w:val="en-GB"/>
        </w:rPr>
        <w:t>victim category</w:t>
      </w:r>
      <w:r w:rsidRPr="005D6BE9">
        <w:rPr>
          <w:rFonts w:ascii="Arial" w:hAnsi="Arial" w:cs="Arial"/>
          <w:lang w:val="en-GB"/>
        </w:rPr>
        <w:t xml:space="preserve"> was limited to </w:t>
      </w:r>
      <w:r w:rsidR="00C10D10" w:rsidRPr="005D6BE9">
        <w:rPr>
          <w:rFonts w:ascii="Arial" w:hAnsi="Arial" w:cs="Arial"/>
          <w:lang w:val="en-GB"/>
        </w:rPr>
        <w:t>those</w:t>
      </w:r>
      <w:r w:rsidRPr="005D6BE9">
        <w:rPr>
          <w:rFonts w:ascii="Arial" w:hAnsi="Arial" w:cs="Arial"/>
          <w:lang w:val="en-GB"/>
        </w:rPr>
        <w:t xml:space="preserve"> who were duped into sex work. However, the</w:t>
      </w:r>
      <w:r w:rsidRPr="005D6BE9">
        <w:rPr>
          <w:rFonts w:ascii="Arial" w:hAnsi="Arial" w:cs="Arial"/>
          <w:i/>
          <w:iCs/>
          <w:lang w:val="en-GB"/>
        </w:rPr>
        <w:t xml:space="preserve"> </w:t>
      </w:r>
      <w:r w:rsidR="0086495D" w:rsidRPr="005D6BE9">
        <w:rPr>
          <w:rFonts w:ascii="Arial" w:hAnsi="Arial" w:cs="Arial"/>
          <w:i/>
          <w:iCs/>
          <w:lang w:val="en-GB"/>
        </w:rPr>
        <w:t>HPSR</w:t>
      </w:r>
      <w:r w:rsidRPr="005D6BE9">
        <w:rPr>
          <w:rFonts w:ascii="Arial" w:hAnsi="Arial" w:cs="Arial"/>
          <w:lang w:val="en-GB"/>
        </w:rPr>
        <w:t xml:space="preserve"> does not require victims in non-sex work industries, such as</w:t>
      </w:r>
      <w:r w:rsidR="007D6728" w:rsidRPr="005D6BE9">
        <w:rPr>
          <w:rFonts w:ascii="Arial" w:hAnsi="Arial" w:cs="Arial"/>
          <w:lang w:val="en-GB"/>
        </w:rPr>
        <w:t xml:space="preserve"> in</w:t>
      </w:r>
      <w:r w:rsidRPr="005D6BE9">
        <w:rPr>
          <w:rFonts w:ascii="Arial" w:hAnsi="Arial" w:cs="Arial"/>
          <w:lang w:val="en-GB"/>
        </w:rPr>
        <w:t xml:space="preserve"> hospitality or agriculture, to be ‘tricked’ in order to be considered a </w:t>
      </w:r>
      <w:r w:rsidR="00C10D10" w:rsidRPr="005D6BE9">
        <w:rPr>
          <w:rFonts w:ascii="Arial" w:hAnsi="Arial" w:cs="Arial"/>
          <w:lang w:val="en-GB"/>
        </w:rPr>
        <w:t xml:space="preserve">true </w:t>
      </w:r>
      <w:r w:rsidRPr="005D6BE9">
        <w:rPr>
          <w:rFonts w:ascii="Arial" w:hAnsi="Arial" w:cs="Arial"/>
          <w:lang w:val="en-GB"/>
        </w:rPr>
        <w:t xml:space="preserve">victim. In other words, </w:t>
      </w:r>
      <w:r w:rsidR="00122485" w:rsidRPr="005D6BE9">
        <w:rPr>
          <w:rFonts w:ascii="Arial" w:hAnsi="Arial" w:cs="Arial"/>
          <w:lang w:val="en-GB"/>
        </w:rPr>
        <w:t>those experiencing exploitation</w:t>
      </w:r>
      <w:r w:rsidRPr="005D6BE9">
        <w:rPr>
          <w:rFonts w:ascii="Arial" w:hAnsi="Arial" w:cs="Arial"/>
          <w:lang w:val="en-GB"/>
        </w:rPr>
        <w:t xml:space="preserve"> in other industries are considered victims despite having initially consented to travel and work in a particular industry. The requirement </w:t>
      </w:r>
      <w:r w:rsidR="00D1783F" w:rsidRPr="005D6BE9">
        <w:rPr>
          <w:rFonts w:ascii="Arial" w:hAnsi="Arial" w:cs="Arial"/>
          <w:lang w:val="en-GB"/>
        </w:rPr>
        <w:t xml:space="preserve">for those experiencing exploitation in the sex industry </w:t>
      </w:r>
      <w:r w:rsidRPr="005D6BE9">
        <w:rPr>
          <w:rFonts w:ascii="Arial" w:hAnsi="Arial" w:cs="Arial"/>
          <w:lang w:val="en-GB"/>
        </w:rPr>
        <w:t xml:space="preserve">to be duped in order to be considered a victim singles out the sex industry for special treatment.  </w:t>
      </w:r>
    </w:p>
    <w:p w14:paraId="001AF9D8" w14:textId="77777777" w:rsidR="00761DD6" w:rsidRDefault="00761DD6" w:rsidP="005D6BE9">
      <w:pPr>
        <w:spacing w:after="0" w:line="360" w:lineRule="auto"/>
        <w:ind w:firstLine="720"/>
        <w:jc w:val="both"/>
        <w:rPr>
          <w:rFonts w:ascii="Arial" w:hAnsi="Arial" w:cs="Arial"/>
          <w:lang w:val="en-GB"/>
        </w:rPr>
      </w:pPr>
    </w:p>
    <w:p w14:paraId="1BDEAF34" w14:textId="25EF8047" w:rsidR="00E855C1" w:rsidRDefault="00E855C1" w:rsidP="005D6BE9">
      <w:pPr>
        <w:spacing w:after="0" w:line="360" w:lineRule="auto"/>
        <w:ind w:firstLine="720"/>
        <w:jc w:val="both"/>
        <w:rPr>
          <w:rFonts w:ascii="Arial" w:hAnsi="Arial" w:cs="Arial"/>
          <w:lang w:val="en-GB"/>
        </w:rPr>
      </w:pPr>
      <w:r w:rsidRPr="005D6BE9">
        <w:rPr>
          <w:rFonts w:ascii="Arial" w:hAnsi="Arial" w:cs="Arial"/>
          <w:lang w:val="en-GB"/>
        </w:rPr>
        <w:t xml:space="preserve">Furthermore, it was argued that migrant sex workers are excluded from the victim category as they are constructed as willing sex workers. Within a post-structuralist policy analysis framework, discourses that are deployed in policies make subject positions available </w:t>
      </w:r>
      <w:r w:rsidRPr="005D6BE9">
        <w:rPr>
          <w:rFonts w:ascii="Arial" w:hAnsi="Arial" w:cs="Arial"/>
          <w:noProof/>
          <w:lang w:val="en-GB"/>
        </w:rPr>
        <w:t>(Bacchi, 2009, 16)</w:t>
      </w:r>
      <w:r w:rsidRPr="005D6BE9">
        <w:rPr>
          <w:rFonts w:ascii="Arial" w:hAnsi="Arial" w:cs="Arial"/>
          <w:lang w:val="en-GB"/>
        </w:rPr>
        <w:t xml:space="preserve">. These subject positions, when assumed, assist people in making ‘sense of the social world from that standpoint, all the while being subjected to the full range of discourses constituting the position’ </w:t>
      </w:r>
      <w:r w:rsidRPr="005D6BE9">
        <w:rPr>
          <w:rFonts w:ascii="Arial" w:hAnsi="Arial" w:cs="Arial"/>
          <w:noProof/>
          <w:lang w:val="en-GB"/>
        </w:rPr>
        <w:t>(Bacchi, 2009, 16)</w:t>
      </w:r>
      <w:r w:rsidRPr="005D6BE9">
        <w:rPr>
          <w:rFonts w:ascii="Arial" w:hAnsi="Arial" w:cs="Arial"/>
          <w:lang w:val="en-GB"/>
        </w:rPr>
        <w:t xml:space="preserve">. Consequently, excluding migrant sex workers from the victim category may have the effect of discouraging migrant sex workers from reporting exploitation and utilising available support services as they may be </w:t>
      </w:r>
      <w:r w:rsidR="00484698" w:rsidRPr="005D6BE9">
        <w:rPr>
          <w:rFonts w:ascii="Arial" w:hAnsi="Arial" w:cs="Arial"/>
          <w:lang w:val="en-GB"/>
        </w:rPr>
        <w:t>led to believe</w:t>
      </w:r>
      <w:r w:rsidRPr="005D6BE9">
        <w:rPr>
          <w:rFonts w:ascii="Arial" w:hAnsi="Arial" w:cs="Arial"/>
          <w:lang w:val="en-GB"/>
        </w:rPr>
        <w:t xml:space="preserve"> that their initial consent to work in the sex industry makes them ineligible to be </w:t>
      </w:r>
      <w:r w:rsidR="006C3409" w:rsidRPr="005D6BE9">
        <w:rPr>
          <w:rFonts w:ascii="Arial" w:hAnsi="Arial" w:cs="Arial"/>
          <w:lang w:val="en-GB"/>
        </w:rPr>
        <w:t xml:space="preserve">categorised as a </w:t>
      </w:r>
      <w:r w:rsidRPr="005D6BE9">
        <w:rPr>
          <w:rFonts w:ascii="Arial" w:hAnsi="Arial" w:cs="Arial"/>
          <w:lang w:val="en-GB"/>
        </w:rPr>
        <w:t xml:space="preserve">victim and access support. </w:t>
      </w:r>
    </w:p>
    <w:p w14:paraId="48F41111" w14:textId="07996901" w:rsidR="00E855C1" w:rsidRDefault="00E855C1" w:rsidP="005D6BE9">
      <w:pPr>
        <w:spacing w:after="0" w:line="360" w:lineRule="auto"/>
        <w:ind w:firstLine="720"/>
        <w:jc w:val="both"/>
        <w:rPr>
          <w:rFonts w:ascii="Arial" w:hAnsi="Arial" w:cs="Arial"/>
          <w:lang w:val="en-GB"/>
        </w:rPr>
      </w:pPr>
      <w:r w:rsidRPr="005D6BE9">
        <w:rPr>
          <w:rFonts w:ascii="Arial" w:hAnsi="Arial" w:cs="Arial"/>
          <w:lang w:val="en-GB"/>
        </w:rPr>
        <w:lastRenderedPageBreak/>
        <w:t xml:space="preserve">While this </w:t>
      </w:r>
      <w:r w:rsidR="0020557D" w:rsidRPr="005D6BE9">
        <w:rPr>
          <w:rFonts w:ascii="Arial" w:hAnsi="Arial" w:cs="Arial"/>
          <w:lang w:val="en-GB"/>
        </w:rPr>
        <w:t>paper</w:t>
      </w:r>
      <w:r w:rsidRPr="005D6BE9">
        <w:rPr>
          <w:rFonts w:ascii="Arial" w:hAnsi="Arial" w:cs="Arial"/>
          <w:lang w:val="en-GB"/>
        </w:rPr>
        <w:t xml:space="preserve"> is not suggesting that all migrant sex workers should be viewed as victims, the requirement </w:t>
      </w:r>
      <w:r w:rsidR="003231D7" w:rsidRPr="005D6BE9">
        <w:rPr>
          <w:rFonts w:ascii="Arial" w:hAnsi="Arial" w:cs="Arial"/>
          <w:lang w:val="en-GB"/>
        </w:rPr>
        <w:t>to</w:t>
      </w:r>
      <w:r w:rsidR="00EF474C" w:rsidRPr="005D6BE9">
        <w:rPr>
          <w:rFonts w:ascii="Arial" w:hAnsi="Arial" w:cs="Arial"/>
          <w:lang w:val="en-GB"/>
        </w:rPr>
        <w:t xml:space="preserve"> </w:t>
      </w:r>
      <w:r w:rsidRPr="005D6BE9">
        <w:rPr>
          <w:rFonts w:ascii="Arial" w:hAnsi="Arial" w:cs="Arial"/>
          <w:lang w:val="en-GB"/>
        </w:rPr>
        <w:t xml:space="preserve">be </w:t>
      </w:r>
      <w:r w:rsidR="00EF474C" w:rsidRPr="005D6BE9">
        <w:rPr>
          <w:rFonts w:ascii="Arial" w:hAnsi="Arial" w:cs="Arial"/>
          <w:lang w:val="en-GB"/>
        </w:rPr>
        <w:t xml:space="preserve">manipulated </w:t>
      </w:r>
      <w:r w:rsidR="00A15EE5" w:rsidRPr="005D6BE9">
        <w:rPr>
          <w:rFonts w:ascii="Arial" w:hAnsi="Arial" w:cs="Arial"/>
          <w:lang w:val="en-GB"/>
        </w:rPr>
        <w:t>into sex work</w:t>
      </w:r>
      <w:r w:rsidRPr="005D6BE9">
        <w:rPr>
          <w:rFonts w:ascii="Arial" w:hAnsi="Arial" w:cs="Arial"/>
          <w:lang w:val="en-GB"/>
        </w:rPr>
        <w:t xml:space="preserve"> excludes </w:t>
      </w:r>
      <w:r w:rsidR="00920EEA" w:rsidRPr="005D6BE9">
        <w:rPr>
          <w:rFonts w:ascii="Arial" w:hAnsi="Arial" w:cs="Arial"/>
          <w:lang w:val="en-GB"/>
        </w:rPr>
        <w:t xml:space="preserve">consenting </w:t>
      </w:r>
      <w:r w:rsidRPr="005D6BE9">
        <w:rPr>
          <w:rFonts w:ascii="Arial" w:hAnsi="Arial" w:cs="Arial"/>
          <w:lang w:val="en-GB"/>
        </w:rPr>
        <w:t xml:space="preserve">migrant sex workers from benefiting from the solutions proposed in the Report to expand victims’ access to Australia’s human trafficking response. As highlighted in the Australian Trafficking in Person reports, </w:t>
      </w:r>
      <w:r w:rsidR="00C73450" w:rsidRPr="005D6BE9">
        <w:rPr>
          <w:rFonts w:ascii="Arial" w:hAnsi="Arial" w:cs="Arial"/>
          <w:lang w:val="en-GB"/>
        </w:rPr>
        <w:t>human trafficking</w:t>
      </w:r>
      <w:r w:rsidRPr="005D6BE9">
        <w:rPr>
          <w:rFonts w:ascii="Arial" w:hAnsi="Arial" w:cs="Arial"/>
          <w:lang w:val="en-GB"/>
        </w:rPr>
        <w:t xml:space="preserve"> convictions in the sex industry largely does not include forced sex work </w:t>
      </w:r>
      <w:r w:rsidRPr="005D6BE9">
        <w:rPr>
          <w:rFonts w:ascii="Arial" w:hAnsi="Arial" w:cs="Arial"/>
          <w:noProof/>
          <w:lang w:val="en-GB"/>
        </w:rPr>
        <w:t>(APTIC, 2009, 2010, 2011, 2012; ICHTS, 2014a, 2014b, 2016, na)</w:t>
      </w:r>
      <w:r w:rsidRPr="005D6BE9">
        <w:rPr>
          <w:rFonts w:ascii="Arial" w:hAnsi="Arial" w:cs="Arial"/>
          <w:lang w:val="en-GB"/>
        </w:rPr>
        <w:t>.</w:t>
      </w:r>
      <w:r w:rsidR="00436BE3" w:rsidRPr="005D6BE9">
        <w:rPr>
          <w:rFonts w:ascii="Arial" w:hAnsi="Arial" w:cs="Arial"/>
          <w:lang w:val="en-GB"/>
        </w:rPr>
        <w:t xml:space="preserve"> At the time of writing, t</w:t>
      </w:r>
      <w:r w:rsidRPr="005D6BE9">
        <w:rPr>
          <w:rFonts w:ascii="Arial" w:hAnsi="Arial" w:cs="Arial"/>
          <w:lang w:val="en-GB"/>
        </w:rPr>
        <w:t xml:space="preserve">here has only been one conviction of </w:t>
      </w:r>
      <w:r w:rsidR="00C73450" w:rsidRPr="005D6BE9">
        <w:rPr>
          <w:rFonts w:ascii="Arial" w:hAnsi="Arial" w:cs="Arial"/>
          <w:lang w:val="en-GB"/>
        </w:rPr>
        <w:t>human trafficking</w:t>
      </w:r>
      <w:r w:rsidRPr="005D6BE9">
        <w:rPr>
          <w:rFonts w:ascii="Arial" w:hAnsi="Arial" w:cs="Arial"/>
          <w:lang w:val="en-GB"/>
        </w:rPr>
        <w:t xml:space="preserve"> where the victim was duped and forced into operating in the sex industry </w:t>
      </w:r>
      <w:r w:rsidRPr="005D6BE9">
        <w:rPr>
          <w:rFonts w:ascii="Arial" w:hAnsi="Arial" w:cs="Arial"/>
          <w:noProof/>
          <w:lang w:val="en-GB"/>
        </w:rPr>
        <w:t>(Office for Women in the Department of Prime Minister and Cabinet, 2019, 9)</w:t>
      </w:r>
      <w:r w:rsidRPr="005D6BE9">
        <w:rPr>
          <w:rFonts w:ascii="Arial" w:hAnsi="Arial" w:cs="Arial"/>
          <w:lang w:val="en-GB"/>
        </w:rPr>
        <w:t xml:space="preserve">. Most trafficking cases have included conditions akin to wage theft, ‘unfair debt contracts’ and inadequate breaks </w:t>
      </w:r>
      <w:r w:rsidRPr="005D6BE9">
        <w:rPr>
          <w:rFonts w:ascii="Arial" w:hAnsi="Arial" w:cs="Arial"/>
          <w:noProof/>
          <w:lang w:val="en-GB"/>
        </w:rPr>
        <w:t>(APTIC, 2009, 2010, 2011, 2012; ICHTS, 2014a, 2014b, 2016, na)</w:t>
      </w:r>
      <w:r w:rsidRPr="005D6BE9">
        <w:rPr>
          <w:rFonts w:ascii="Arial" w:hAnsi="Arial" w:cs="Arial"/>
          <w:lang w:val="en-GB"/>
        </w:rPr>
        <w:t xml:space="preserve">. The construction of victims as duped into sex work is in contrast with Australia’s </w:t>
      </w:r>
      <w:r w:rsidR="00C73450" w:rsidRPr="005D6BE9">
        <w:rPr>
          <w:rFonts w:ascii="Arial" w:hAnsi="Arial" w:cs="Arial"/>
          <w:lang w:val="en-GB"/>
        </w:rPr>
        <w:t>human trafficking</w:t>
      </w:r>
      <w:r w:rsidRPr="005D6BE9">
        <w:rPr>
          <w:rFonts w:ascii="Arial" w:hAnsi="Arial" w:cs="Arial"/>
          <w:lang w:val="en-GB"/>
        </w:rPr>
        <w:t xml:space="preserve"> convictions that has been achieved so far. In light of limited reliable quantitative data on human trafficking in Australia, the convictions are extremely valuable in understanding the types of exploitation victims in the sex industry may experience. The </w:t>
      </w:r>
      <w:r w:rsidR="0086495D" w:rsidRPr="005D6BE9">
        <w:rPr>
          <w:rFonts w:ascii="Arial" w:hAnsi="Arial" w:cs="Arial"/>
          <w:i/>
          <w:iCs/>
          <w:lang w:val="en-GB"/>
        </w:rPr>
        <w:t>HPSR</w:t>
      </w:r>
      <w:r w:rsidRPr="005D6BE9">
        <w:rPr>
          <w:rFonts w:ascii="Arial" w:hAnsi="Arial" w:cs="Arial"/>
          <w:i/>
          <w:iCs/>
          <w:lang w:val="en-GB"/>
        </w:rPr>
        <w:t xml:space="preserve">’s </w:t>
      </w:r>
      <w:r w:rsidRPr="005D6BE9">
        <w:rPr>
          <w:rFonts w:ascii="Arial" w:hAnsi="Arial" w:cs="Arial"/>
          <w:lang w:val="en-GB"/>
        </w:rPr>
        <w:t xml:space="preserve">construction of victims does not acknowledge or provide any solutions to increase support for victims experiencing the types of exploitation that have been presented in the convictions Australia has gained so far. </w:t>
      </w:r>
    </w:p>
    <w:p w14:paraId="235DF374" w14:textId="77777777" w:rsidR="00761DD6" w:rsidRPr="005D6BE9" w:rsidRDefault="00761DD6" w:rsidP="005D6BE9">
      <w:pPr>
        <w:spacing w:after="0" w:line="360" w:lineRule="auto"/>
        <w:ind w:firstLine="720"/>
        <w:jc w:val="both"/>
        <w:rPr>
          <w:rFonts w:ascii="Arial" w:hAnsi="Arial" w:cs="Arial"/>
          <w:lang w:val="en-GB"/>
        </w:rPr>
      </w:pPr>
    </w:p>
    <w:p w14:paraId="451F96CA" w14:textId="07DA270E" w:rsidR="00824ED3" w:rsidRPr="005D6BE9" w:rsidRDefault="00E855C1" w:rsidP="005D6BE9">
      <w:pPr>
        <w:spacing w:after="0" w:line="360" w:lineRule="auto"/>
        <w:ind w:firstLine="720"/>
        <w:jc w:val="both"/>
        <w:rPr>
          <w:rFonts w:ascii="Arial" w:hAnsi="Arial" w:cs="Arial"/>
          <w:lang w:val="en-GB"/>
        </w:rPr>
      </w:pPr>
      <w:r w:rsidRPr="005D6BE9">
        <w:rPr>
          <w:rFonts w:ascii="Arial" w:hAnsi="Arial" w:cs="Arial"/>
          <w:lang w:val="en-GB"/>
        </w:rPr>
        <w:t xml:space="preserve">The recommendation to ‘strengthen visa systems to prevent involuntary human trafficking in the sex industry’ assumes that the problem of sex trafficking can be largely resolved through greater restrictions and surveillance of Australia’s visa system. However, what fails to be problematised is how Australia’s existing restrictive visa framework and highly monitored borders may exacerbate rather than prevent trafficking. There is a growing body of research that argues that when migration is restricted, rather than deterring migration, migrants are forced to rely on less traditional and potentially non-legal routes of entry. For example, where it is difficult to independently gain a visa, migrants are more likely to utilise third parties to assist in their migration process </w:t>
      </w:r>
      <w:r w:rsidRPr="005D6BE9">
        <w:rPr>
          <w:rFonts w:ascii="Arial" w:hAnsi="Arial" w:cs="Arial"/>
          <w:noProof/>
          <w:lang w:val="en-GB"/>
        </w:rPr>
        <w:t>(Kapur, 2005, 28)</w:t>
      </w:r>
      <w:r w:rsidRPr="005D6BE9">
        <w:rPr>
          <w:rFonts w:ascii="Arial" w:hAnsi="Arial" w:cs="Arial"/>
          <w:lang w:val="en-GB"/>
        </w:rPr>
        <w:t xml:space="preserve">. For some migrants, the use of a third party is the only way to legally travel and work in Australia </w:t>
      </w:r>
      <w:r w:rsidRPr="005D6BE9">
        <w:rPr>
          <w:rFonts w:ascii="Arial" w:hAnsi="Arial" w:cs="Arial"/>
          <w:noProof/>
          <w:lang w:val="en-GB"/>
        </w:rPr>
        <w:t>(Renshaw, 2016, 16)</w:t>
      </w:r>
      <w:r w:rsidRPr="005D6BE9">
        <w:rPr>
          <w:rFonts w:ascii="Arial" w:hAnsi="Arial" w:cs="Arial"/>
          <w:lang w:val="en-GB"/>
        </w:rPr>
        <w:t xml:space="preserve">. Research from Australia shows that opportunities for exploitation increases when migrants are forced to use a third party, such as a migration broker, to travel and work in Australia </w:t>
      </w:r>
      <w:r w:rsidRPr="005D6BE9">
        <w:rPr>
          <w:rFonts w:ascii="Arial" w:hAnsi="Arial" w:cs="Arial"/>
          <w:noProof/>
          <w:lang w:val="en-GB"/>
        </w:rPr>
        <w:t>(Renshaw, 2016)</w:t>
      </w:r>
      <w:r w:rsidRPr="005D6BE9">
        <w:rPr>
          <w:rFonts w:ascii="Arial" w:hAnsi="Arial" w:cs="Arial"/>
          <w:lang w:val="en-GB"/>
        </w:rPr>
        <w:t xml:space="preserve">. Expanding migrant workers, including migrant sex workers, ability to independently and legally travel and work, in effect, could reduce opportunities for exploitation by reducing the need to use a third party. However, the recommendation to ‘strengthen visa systems to prevent involuntary human trafficking in the sex industry’ silences this possibility.  </w:t>
      </w:r>
    </w:p>
    <w:p w14:paraId="34698ADB" w14:textId="467E8735" w:rsidR="00282742" w:rsidRDefault="00282742" w:rsidP="005D6BE9">
      <w:pPr>
        <w:spacing w:after="0" w:line="360" w:lineRule="auto"/>
        <w:jc w:val="both"/>
        <w:rPr>
          <w:rFonts w:ascii="Arial" w:hAnsi="Arial" w:cs="Arial"/>
          <w:b/>
          <w:bCs/>
          <w:i/>
          <w:iCs/>
          <w:lang w:val="en-GB"/>
        </w:rPr>
      </w:pPr>
    </w:p>
    <w:p w14:paraId="7F15C41B" w14:textId="77777777" w:rsidR="004F3871" w:rsidRPr="005D6BE9" w:rsidRDefault="004F3871" w:rsidP="005D6BE9">
      <w:pPr>
        <w:spacing w:after="0" w:line="360" w:lineRule="auto"/>
        <w:jc w:val="both"/>
        <w:rPr>
          <w:rFonts w:ascii="Arial" w:hAnsi="Arial" w:cs="Arial"/>
          <w:b/>
          <w:bCs/>
          <w:i/>
          <w:iCs/>
          <w:lang w:val="en-GB"/>
        </w:rPr>
      </w:pPr>
    </w:p>
    <w:p w14:paraId="6AA3E6AF" w14:textId="39042BA9" w:rsidR="00C226B5" w:rsidRDefault="00C226B5" w:rsidP="005D6BE9">
      <w:pPr>
        <w:spacing w:after="0" w:line="360" w:lineRule="auto"/>
        <w:jc w:val="both"/>
        <w:rPr>
          <w:rFonts w:ascii="Arial" w:hAnsi="Arial" w:cs="Arial"/>
          <w:i/>
          <w:iCs/>
          <w:lang w:val="en-GB"/>
        </w:rPr>
      </w:pPr>
      <w:r w:rsidRPr="005D6BE9">
        <w:rPr>
          <w:rFonts w:ascii="Arial" w:hAnsi="Arial" w:cs="Arial"/>
          <w:b/>
          <w:bCs/>
          <w:i/>
          <w:iCs/>
          <w:lang w:val="en-GB"/>
        </w:rPr>
        <w:lastRenderedPageBreak/>
        <w:t>Conclusion</w:t>
      </w:r>
      <w:r w:rsidR="00761DD6" w:rsidRPr="00761DD6">
        <w:rPr>
          <w:rFonts w:ascii="Arial" w:hAnsi="Arial" w:cs="Arial"/>
          <w:b/>
          <w:bCs/>
          <w:i/>
          <w:iCs/>
          <w:lang w:val="en-GB"/>
        </w:rPr>
        <w:t xml:space="preserve">: </w:t>
      </w:r>
      <w:r w:rsidR="00764D95" w:rsidRPr="00761DD6">
        <w:rPr>
          <w:rFonts w:ascii="Arial" w:hAnsi="Arial" w:cs="Arial"/>
          <w:b/>
          <w:bCs/>
          <w:i/>
          <w:iCs/>
          <w:lang w:val="en-GB"/>
        </w:rPr>
        <w:t>N</w:t>
      </w:r>
      <w:r w:rsidR="00282742" w:rsidRPr="00761DD6">
        <w:rPr>
          <w:rFonts w:ascii="Arial" w:hAnsi="Arial" w:cs="Arial"/>
          <w:b/>
          <w:bCs/>
          <w:i/>
          <w:iCs/>
          <w:lang w:val="en-GB"/>
        </w:rPr>
        <w:t xml:space="preserve">ew </w:t>
      </w:r>
      <w:r w:rsidR="00761DD6" w:rsidRPr="00761DD6">
        <w:rPr>
          <w:rFonts w:ascii="Arial" w:hAnsi="Arial" w:cs="Arial"/>
          <w:b/>
          <w:bCs/>
          <w:i/>
          <w:iCs/>
          <w:lang w:val="en-GB"/>
        </w:rPr>
        <w:t>W</w:t>
      </w:r>
      <w:r w:rsidR="00282742" w:rsidRPr="00761DD6">
        <w:rPr>
          <w:rFonts w:ascii="Arial" w:hAnsi="Arial" w:cs="Arial"/>
          <w:b/>
          <w:bCs/>
          <w:i/>
          <w:iCs/>
          <w:lang w:val="en-GB"/>
        </w:rPr>
        <w:t xml:space="preserve">ays of </w:t>
      </w:r>
      <w:r w:rsidR="00761DD6" w:rsidRPr="00761DD6">
        <w:rPr>
          <w:rFonts w:ascii="Arial" w:hAnsi="Arial" w:cs="Arial"/>
          <w:b/>
          <w:bCs/>
          <w:i/>
          <w:iCs/>
          <w:lang w:val="en-GB"/>
        </w:rPr>
        <w:t>T</w:t>
      </w:r>
      <w:r w:rsidR="00282742" w:rsidRPr="00761DD6">
        <w:rPr>
          <w:rFonts w:ascii="Arial" w:hAnsi="Arial" w:cs="Arial"/>
          <w:b/>
          <w:bCs/>
          <w:i/>
          <w:iCs/>
          <w:lang w:val="en-GB"/>
        </w:rPr>
        <w:t>hin</w:t>
      </w:r>
      <w:r w:rsidR="00F437C4" w:rsidRPr="00761DD6">
        <w:rPr>
          <w:rFonts w:ascii="Arial" w:hAnsi="Arial" w:cs="Arial"/>
          <w:b/>
          <w:bCs/>
          <w:i/>
          <w:iCs/>
          <w:lang w:val="en-GB"/>
        </w:rPr>
        <w:t>king</w:t>
      </w:r>
      <w:r w:rsidR="00282742" w:rsidRPr="00761DD6">
        <w:rPr>
          <w:rFonts w:ascii="Arial" w:hAnsi="Arial" w:cs="Arial"/>
          <w:b/>
          <w:bCs/>
          <w:i/>
          <w:iCs/>
          <w:lang w:val="en-GB"/>
        </w:rPr>
        <w:t xml:space="preserve"> </w:t>
      </w:r>
      <w:r w:rsidR="00761DD6" w:rsidRPr="00761DD6">
        <w:rPr>
          <w:rFonts w:ascii="Arial" w:hAnsi="Arial" w:cs="Arial"/>
          <w:b/>
          <w:bCs/>
          <w:i/>
          <w:iCs/>
          <w:lang w:val="en-GB"/>
        </w:rPr>
        <w:t>A</w:t>
      </w:r>
      <w:r w:rsidR="00282742" w:rsidRPr="00761DD6">
        <w:rPr>
          <w:rFonts w:ascii="Arial" w:hAnsi="Arial" w:cs="Arial"/>
          <w:b/>
          <w:bCs/>
          <w:i/>
          <w:iCs/>
          <w:lang w:val="en-GB"/>
        </w:rPr>
        <w:t xml:space="preserve">bout the </w:t>
      </w:r>
      <w:r w:rsidR="00761DD6" w:rsidRPr="00761DD6">
        <w:rPr>
          <w:rFonts w:ascii="Arial" w:hAnsi="Arial" w:cs="Arial"/>
          <w:b/>
          <w:bCs/>
          <w:i/>
          <w:iCs/>
          <w:lang w:val="en-GB"/>
        </w:rPr>
        <w:t>P</w:t>
      </w:r>
      <w:r w:rsidR="00282742" w:rsidRPr="00761DD6">
        <w:rPr>
          <w:rFonts w:ascii="Arial" w:hAnsi="Arial" w:cs="Arial"/>
          <w:b/>
          <w:bCs/>
          <w:i/>
          <w:iCs/>
          <w:lang w:val="en-GB"/>
        </w:rPr>
        <w:t xml:space="preserve">roblem and </w:t>
      </w:r>
      <w:r w:rsidR="00761DD6" w:rsidRPr="00761DD6">
        <w:rPr>
          <w:rFonts w:ascii="Arial" w:hAnsi="Arial" w:cs="Arial"/>
          <w:b/>
          <w:bCs/>
          <w:i/>
          <w:iCs/>
          <w:lang w:val="en-GB"/>
        </w:rPr>
        <w:t>P</w:t>
      </w:r>
      <w:r w:rsidR="00282742" w:rsidRPr="00761DD6">
        <w:rPr>
          <w:rFonts w:ascii="Arial" w:hAnsi="Arial" w:cs="Arial"/>
          <w:b/>
          <w:bCs/>
          <w:i/>
          <w:iCs/>
          <w:lang w:val="en-GB"/>
        </w:rPr>
        <w:t xml:space="preserve">otential </w:t>
      </w:r>
      <w:r w:rsidR="00761DD6" w:rsidRPr="00761DD6">
        <w:rPr>
          <w:rFonts w:ascii="Arial" w:hAnsi="Arial" w:cs="Arial"/>
          <w:b/>
          <w:bCs/>
          <w:i/>
          <w:iCs/>
          <w:lang w:val="en-GB"/>
        </w:rPr>
        <w:t>S</w:t>
      </w:r>
      <w:r w:rsidR="00282742" w:rsidRPr="00761DD6">
        <w:rPr>
          <w:rFonts w:ascii="Arial" w:hAnsi="Arial" w:cs="Arial"/>
          <w:b/>
          <w:bCs/>
          <w:i/>
          <w:iCs/>
          <w:lang w:val="en-GB"/>
        </w:rPr>
        <w:t>olutions</w:t>
      </w:r>
      <w:r w:rsidR="00282742" w:rsidRPr="005D6BE9">
        <w:rPr>
          <w:rFonts w:ascii="Arial" w:hAnsi="Arial" w:cs="Arial"/>
          <w:i/>
          <w:iCs/>
          <w:lang w:val="en-GB"/>
        </w:rPr>
        <w:t xml:space="preserve"> </w:t>
      </w:r>
    </w:p>
    <w:p w14:paraId="700BC616" w14:textId="77777777" w:rsidR="00761DD6" w:rsidRPr="00761DD6" w:rsidRDefault="00761DD6" w:rsidP="005D6BE9">
      <w:pPr>
        <w:spacing w:after="0" w:line="360" w:lineRule="auto"/>
        <w:jc w:val="both"/>
        <w:rPr>
          <w:rFonts w:ascii="Arial" w:hAnsi="Arial" w:cs="Arial"/>
          <w:b/>
          <w:bCs/>
          <w:i/>
          <w:iCs/>
          <w:lang w:val="en-GB"/>
        </w:rPr>
      </w:pPr>
    </w:p>
    <w:p w14:paraId="6050EE1D" w14:textId="0EBB3614" w:rsidR="00E855C1" w:rsidRDefault="00E855C1" w:rsidP="005D6BE9">
      <w:pPr>
        <w:spacing w:after="0" w:line="360" w:lineRule="auto"/>
        <w:jc w:val="both"/>
        <w:rPr>
          <w:rFonts w:ascii="Arial" w:hAnsi="Arial" w:cs="Arial"/>
          <w:lang w:val="en-GB"/>
        </w:rPr>
      </w:pPr>
      <w:r w:rsidRPr="005D6BE9">
        <w:rPr>
          <w:rFonts w:ascii="Arial" w:hAnsi="Arial" w:cs="Arial"/>
          <w:lang w:val="en-GB"/>
        </w:rPr>
        <w:t xml:space="preserve">While Australia presented potential to be distinct in not singling out the sex industry for human trafficking responses, this paper’s analysis of the deployment of the category victim in the </w:t>
      </w:r>
      <w:r w:rsidR="0086495D" w:rsidRPr="005D6BE9">
        <w:rPr>
          <w:rFonts w:ascii="Arial" w:hAnsi="Arial" w:cs="Arial"/>
          <w:i/>
          <w:iCs/>
          <w:lang w:val="en-GB"/>
        </w:rPr>
        <w:t>HPSR</w:t>
      </w:r>
      <w:r w:rsidRPr="005D6BE9">
        <w:rPr>
          <w:rFonts w:ascii="Arial" w:hAnsi="Arial" w:cs="Arial"/>
          <w:lang w:val="en-GB"/>
        </w:rPr>
        <w:t xml:space="preserve"> exposed a different conclusion. </w:t>
      </w:r>
      <w:r w:rsidR="00DC099D" w:rsidRPr="005D6BE9">
        <w:rPr>
          <w:rFonts w:ascii="Arial" w:hAnsi="Arial" w:cs="Arial"/>
          <w:lang w:val="en-GB"/>
        </w:rPr>
        <w:t>It was</w:t>
      </w:r>
      <w:r w:rsidRPr="005D6BE9">
        <w:rPr>
          <w:rFonts w:ascii="Arial" w:hAnsi="Arial" w:cs="Arial"/>
          <w:lang w:val="en-GB"/>
        </w:rPr>
        <w:t xml:space="preserve"> revealed that </w:t>
      </w:r>
      <w:r w:rsidR="006F302D" w:rsidRPr="005D6BE9">
        <w:rPr>
          <w:rFonts w:ascii="Arial" w:hAnsi="Arial" w:cs="Arial"/>
          <w:lang w:val="en-GB"/>
        </w:rPr>
        <w:t>while the l</w:t>
      </w:r>
      <w:r w:rsidR="00E92ADB" w:rsidRPr="005D6BE9">
        <w:rPr>
          <w:rFonts w:ascii="Arial" w:hAnsi="Arial" w:cs="Arial"/>
          <w:lang w:val="en-GB"/>
        </w:rPr>
        <w:t>egal framework has shifted away from singling out the sex industry,</w:t>
      </w:r>
      <w:r w:rsidRPr="005D6BE9">
        <w:rPr>
          <w:rFonts w:ascii="Arial" w:hAnsi="Arial" w:cs="Arial"/>
          <w:lang w:val="en-GB"/>
        </w:rPr>
        <w:t xml:space="preserve"> Australian polic</w:t>
      </w:r>
      <w:r w:rsidR="00E92ADB" w:rsidRPr="005D6BE9">
        <w:rPr>
          <w:rFonts w:ascii="Arial" w:hAnsi="Arial" w:cs="Arial"/>
          <w:lang w:val="en-GB"/>
        </w:rPr>
        <w:t xml:space="preserve">y discourses </w:t>
      </w:r>
      <w:r w:rsidR="00B8283F" w:rsidRPr="005D6BE9">
        <w:rPr>
          <w:rFonts w:ascii="Arial" w:hAnsi="Arial" w:cs="Arial"/>
          <w:lang w:val="en-GB"/>
        </w:rPr>
        <w:t xml:space="preserve">that impacts the application of </w:t>
      </w:r>
      <w:r w:rsidR="00C8388E" w:rsidRPr="005D6BE9">
        <w:rPr>
          <w:rFonts w:ascii="Arial" w:hAnsi="Arial" w:cs="Arial"/>
          <w:lang w:val="en-GB"/>
        </w:rPr>
        <w:t xml:space="preserve">the laws </w:t>
      </w:r>
      <w:r w:rsidRPr="005D6BE9">
        <w:rPr>
          <w:rFonts w:ascii="Arial" w:hAnsi="Arial" w:cs="Arial"/>
          <w:lang w:val="en-GB"/>
        </w:rPr>
        <w:t xml:space="preserve">continues to single out the sex industry for special requirements by constructing victims of human trafficking in the sex industry as duped into sex work. Victims of human trafficking in industries other than the sex industry, however, do not need to meet this requirement to be viewed as a victim. </w:t>
      </w:r>
    </w:p>
    <w:p w14:paraId="3F1648F3" w14:textId="77777777" w:rsidR="00761DD6" w:rsidRPr="005D6BE9" w:rsidRDefault="00761DD6" w:rsidP="005D6BE9">
      <w:pPr>
        <w:spacing w:after="0" w:line="360" w:lineRule="auto"/>
        <w:jc w:val="both"/>
        <w:rPr>
          <w:rFonts w:ascii="Arial" w:hAnsi="Arial" w:cs="Arial"/>
          <w:lang w:val="en-GB"/>
        </w:rPr>
      </w:pPr>
    </w:p>
    <w:p w14:paraId="1BCBC1A1" w14:textId="31712D71" w:rsidR="00E855C1" w:rsidRDefault="00E855C1" w:rsidP="005D6BE9">
      <w:pPr>
        <w:spacing w:after="0" w:line="360" w:lineRule="auto"/>
        <w:ind w:firstLine="720"/>
        <w:jc w:val="both"/>
        <w:rPr>
          <w:rFonts w:ascii="Arial" w:hAnsi="Arial" w:cs="Arial"/>
          <w:lang w:val="en-GB"/>
        </w:rPr>
      </w:pPr>
      <w:r w:rsidRPr="005D6BE9">
        <w:rPr>
          <w:rFonts w:ascii="Arial" w:hAnsi="Arial" w:cs="Arial"/>
          <w:lang w:val="en-GB"/>
        </w:rPr>
        <w:t xml:space="preserve">Additionally, the </w:t>
      </w:r>
      <w:r w:rsidR="004A47B8" w:rsidRPr="005D6BE9">
        <w:rPr>
          <w:rFonts w:ascii="Arial" w:hAnsi="Arial" w:cs="Arial"/>
          <w:lang w:val="en-GB"/>
        </w:rPr>
        <w:t>national</w:t>
      </w:r>
      <w:r w:rsidRPr="005D6BE9">
        <w:rPr>
          <w:rFonts w:ascii="Arial" w:hAnsi="Arial" w:cs="Arial"/>
          <w:lang w:val="en-GB"/>
        </w:rPr>
        <w:t xml:space="preserve"> sex trafficking convictions </w:t>
      </w:r>
      <w:r w:rsidR="00AC0A87" w:rsidRPr="005D6BE9">
        <w:rPr>
          <w:rFonts w:ascii="Arial" w:hAnsi="Arial" w:cs="Arial"/>
          <w:lang w:val="en-GB"/>
        </w:rPr>
        <w:t>shows</w:t>
      </w:r>
      <w:r w:rsidRPr="005D6BE9">
        <w:rPr>
          <w:rFonts w:ascii="Arial" w:hAnsi="Arial" w:cs="Arial"/>
          <w:lang w:val="en-GB"/>
        </w:rPr>
        <w:t xml:space="preserve"> that the types of exploitation experienced by victims largely does not include being tricked into sex work. </w:t>
      </w:r>
      <w:r w:rsidR="00761DD6">
        <w:rPr>
          <w:rFonts w:ascii="Arial" w:hAnsi="Arial" w:cs="Arial"/>
          <w:lang w:val="en-GB"/>
        </w:rPr>
        <w:t>T</w:t>
      </w:r>
      <w:r w:rsidRPr="005D6BE9">
        <w:rPr>
          <w:rFonts w:ascii="Arial" w:hAnsi="Arial" w:cs="Arial"/>
          <w:lang w:val="en-GB"/>
        </w:rPr>
        <w:t xml:space="preserve">o broaden migrant sex workers access to support and protection, the </w:t>
      </w:r>
      <w:r w:rsidR="0086495D" w:rsidRPr="005D6BE9">
        <w:rPr>
          <w:rFonts w:ascii="Arial" w:hAnsi="Arial" w:cs="Arial"/>
          <w:i/>
          <w:iCs/>
          <w:lang w:val="en-GB"/>
        </w:rPr>
        <w:t>HPSR</w:t>
      </w:r>
      <w:r w:rsidRPr="005D6BE9">
        <w:rPr>
          <w:rFonts w:ascii="Arial" w:hAnsi="Arial" w:cs="Arial"/>
          <w:lang w:val="en-GB"/>
        </w:rPr>
        <w:t xml:space="preserve"> needs </w:t>
      </w:r>
      <w:r w:rsidR="004A47B8" w:rsidRPr="005D6BE9">
        <w:rPr>
          <w:rFonts w:ascii="Arial" w:hAnsi="Arial" w:cs="Arial"/>
          <w:lang w:val="en-GB"/>
        </w:rPr>
        <w:t xml:space="preserve">to </w:t>
      </w:r>
      <w:r w:rsidRPr="005D6BE9">
        <w:rPr>
          <w:rFonts w:ascii="Arial" w:hAnsi="Arial" w:cs="Arial"/>
          <w:lang w:val="en-GB"/>
        </w:rPr>
        <w:t xml:space="preserve">move away from understanding victims of sex trafficking as duped into sex work. Understanding victims to also include migrant sex workers who willingly travelled to work in the Australian sex industry but experience exploitation nonetheless may increase the Report’s ability to provide solutions that reduce barriers to reporting sex trafficking and accessing support. </w:t>
      </w:r>
    </w:p>
    <w:p w14:paraId="5DE90EA2" w14:textId="77777777" w:rsidR="00761DD6" w:rsidRPr="005D6BE9" w:rsidRDefault="00761DD6" w:rsidP="005D6BE9">
      <w:pPr>
        <w:spacing w:after="0" w:line="360" w:lineRule="auto"/>
        <w:ind w:firstLine="720"/>
        <w:jc w:val="both"/>
        <w:rPr>
          <w:rFonts w:ascii="Arial" w:hAnsi="Arial" w:cs="Arial"/>
          <w:lang w:val="en-GB"/>
        </w:rPr>
      </w:pPr>
    </w:p>
    <w:p w14:paraId="06A43E40" w14:textId="50E33ABC" w:rsidR="0042051B" w:rsidRDefault="00E855C1" w:rsidP="005D6BE9">
      <w:pPr>
        <w:spacing w:after="0" w:line="360" w:lineRule="auto"/>
        <w:ind w:firstLine="720"/>
        <w:jc w:val="both"/>
        <w:rPr>
          <w:rFonts w:ascii="Arial" w:hAnsi="Arial" w:cs="Arial"/>
          <w:lang w:val="en-GB"/>
        </w:rPr>
      </w:pPr>
      <w:r w:rsidRPr="005D6BE9">
        <w:rPr>
          <w:rFonts w:ascii="Arial" w:hAnsi="Arial" w:cs="Arial"/>
          <w:lang w:val="en-GB"/>
        </w:rPr>
        <w:t>On the other hand, the deployment of the assumption that all migrant workers, irrespective of the industry they are operating in, are responsibilised subjects who are culpable for their exploitation continues to reduce the ability of the Report to provide recommendations that will increase victims access to support. In this light, efforts to increase migrant sex workers access to support must occur alongside challenging the assumption that migrant workers are responsible for their exploitation. In addition, greater attention needs to be drawn to the structural conditions that expose all migrant workers to exploitation and reduce</w:t>
      </w:r>
      <w:r w:rsidR="00772237" w:rsidRPr="005D6BE9">
        <w:rPr>
          <w:rFonts w:ascii="Arial" w:hAnsi="Arial" w:cs="Arial"/>
          <w:lang w:val="en-GB"/>
        </w:rPr>
        <w:t>s</w:t>
      </w:r>
      <w:r w:rsidRPr="005D6BE9">
        <w:rPr>
          <w:rFonts w:ascii="Arial" w:hAnsi="Arial" w:cs="Arial"/>
          <w:lang w:val="en-GB"/>
        </w:rPr>
        <w:t xml:space="preserve"> access to support. </w:t>
      </w:r>
    </w:p>
    <w:p w14:paraId="38512EFD" w14:textId="77777777" w:rsidR="00761DD6" w:rsidRPr="005D6BE9" w:rsidRDefault="00761DD6" w:rsidP="005D6BE9">
      <w:pPr>
        <w:spacing w:after="0" w:line="360" w:lineRule="auto"/>
        <w:ind w:firstLine="720"/>
        <w:jc w:val="both"/>
        <w:rPr>
          <w:rFonts w:ascii="Arial" w:hAnsi="Arial" w:cs="Arial"/>
          <w:lang w:val="en-GB"/>
        </w:rPr>
      </w:pPr>
    </w:p>
    <w:p w14:paraId="372ECAFB" w14:textId="1D8480F2" w:rsidR="00DE56E0" w:rsidRDefault="00A711AD" w:rsidP="005D6BE9">
      <w:pPr>
        <w:spacing w:after="0" w:line="360" w:lineRule="auto"/>
        <w:ind w:firstLine="720"/>
        <w:jc w:val="both"/>
        <w:rPr>
          <w:rFonts w:ascii="Arial" w:hAnsi="Arial" w:cs="Arial"/>
          <w:lang w:val="en-GB"/>
        </w:rPr>
      </w:pPr>
      <w:r w:rsidRPr="005D6BE9">
        <w:rPr>
          <w:rFonts w:ascii="Arial" w:hAnsi="Arial" w:cs="Arial"/>
          <w:lang w:val="en-GB"/>
        </w:rPr>
        <w:t>The deconstruction of the deep-seated assumptions underpinning the problem of human trafficking and the solutions propose</w:t>
      </w:r>
      <w:r w:rsidR="002A4405" w:rsidRPr="005D6BE9">
        <w:rPr>
          <w:rFonts w:ascii="Arial" w:hAnsi="Arial" w:cs="Arial"/>
          <w:lang w:val="en-GB"/>
        </w:rPr>
        <w:t>d with</w:t>
      </w:r>
      <w:r w:rsidR="00BD4AA5" w:rsidRPr="005D6BE9">
        <w:rPr>
          <w:rFonts w:ascii="Arial" w:hAnsi="Arial" w:cs="Arial"/>
          <w:lang w:val="en-GB"/>
        </w:rPr>
        <w:t>in</w:t>
      </w:r>
      <w:r w:rsidR="002A4405" w:rsidRPr="005D6BE9">
        <w:rPr>
          <w:rFonts w:ascii="Arial" w:hAnsi="Arial" w:cs="Arial"/>
          <w:lang w:val="en-GB"/>
        </w:rPr>
        <w:t xml:space="preserve"> the </w:t>
      </w:r>
      <w:r w:rsidR="0086495D" w:rsidRPr="005D6BE9">
        <w:rPr>
          <w:rFonts w:ascii="Arial" w:hAnsi="Arial" w:cs="Arial"/>
          <w:i/>
          <w:iCs/>
          <w:lang w:val="en-GB"/>
        </w:rPr>
        <w:t>HPSR</w:t>
      </w:r>
      <w:r w:rsidR="002A4405" w:rsidRPr="005D6BE9">
        <w:rPr>
          <w:rFonts w:ascii="Arial" w:hAnsi="Arial" w:cs="Arial"/>
          <w:lang w:val="en-GB"/>
        </w:rPr>
        <w:t xml:space="preserve"> and other key policy documents brought to light the </w:t>
      </w:r>
      <w:r w:rsidR="00603C50" w:rsidRPr="005D6BE9">
        <w:rPr>
          <w:rFonts w:ascii="Arial" w:hAnsi="Arial" w:cs="Arial"/>
          <w:lang w:val="en-GB"/>
        </w:rPr>
        <w:t>complex relationship</w:t>
      </w:r>
      <w:r w:rsidR="002A4405" w:rsidRPr="005D6BE9">
        <w:rPr>
          <w:rFonts w:ascii="Arial" w:hAnsi="Arial" w:cs="Arial"/>
          <w:lang w:val="en-GB"/>
        </w:rPr>
        <w:t xml:space="preserve"> between sex workers and</w:t>
      </w:r>
      <w:r w:rsidR="00BD4AA5" w:rsidRPr="005D6BE9">
        <w:rPr>
          <w:rFonts w:ascii="Arial" w:hAnsi="Arial" w:cs="Arial"/>
          <w:lang w:val="en-GB"/>
        </w:rPr>
        <w:t xml:space="preserve"> Australian</w:t>
      </w:r>
      <w:r w:rsidR="002A4405" w:rsidRPr="005D6BE9">
        <w:rPr>
          <w:rFonts w:ascii="Arial" w:hAnsi="Arial" w:cs="Arial"/>
          <w:lang w:val="en-GB"/>
        </w:rPr>
        <w:t xml:space="preserve"> human trafficking</w:t>
      </w:r>
      <w:r w:rsidR="00603C50" w:rsidRPr="005D6BE9">
        <w:rPr>
          <w:rFonts w:ascii="Arial" w:hAnsi="Arial" w:cs="Arial"/>
          <w:lang w:val="en-GB"/>
        </w:rPr>
        <w:t xml:space="preserve"> laws and policie</w:t>
      </w:r>
      <w:r w:rsidR="00AF1A7B" w:rsidRPr="005D6BE9">
        <w:rPr>
          <w:rFonts w:ascii="Arial" w:hAnsi="Arial" w:cs="Arial"/>
          <w:lang w:val="en-GB"/>
        </w:rPr>
        <w:t xml:space="preserve">s. </w:t>
      </w:r>
      <w:r w:rsidR="0030158E" w:rsidRPr="005D6BE9">
        <w:rPr>
          <w:rFonts w:ascii="Arial" w:hAnsi="Arial" w:cs="Arial"/>
          <w:lang w:val="en-GB"/>
        </w:rPr>
        <w:t xml:space="preserve">In saying this, </w:t>
      </w:r>
      <w:r w:rsidR="00EF0E1A" w:rsidRPr="005D6BE9">
        <w:rPr>
          <w:rFonts w:ascii="Arial" w:hAnsi="Arial" w:cs="Arial"/>
          <w:lang w:val="en-GB"/>
        </w:rPr>
        <w:t xml:space="preserve">this paper proposes that there is a need </w:t>
      </w:r>
      <w:r w:rsidR="00C86911" w:rsidRPr="005D6BE9">
        <w:rPr>
          <w:rFonts w:ascii="Arial" w:hAnsi="Arial" w:cs="Arial"/>
          <w:lang w:val="en-GB"/>
        </w:rPr>
        <w:t xml:space="preserve">to </w:t>
      </w:r>
      <w:r w:rsidR="00F67344" w:rsidRPr="005D6BE9">
        <w:rPr>
          <w:rFonts w:ascii="Arial" w:hAnsi="Arial" w:cs="Arial"/>
          <w:lang w:val="en-GB"/>
        </w:rPr>
        <w:t xml:space="preserve">challenge the </w:t>
      </w:r>
      <w:r w:rsidR="009B25E6" w:rsidRPr="005D6BE9">
        <w:rPr>
          <w:rFonts w:ascii="Arial" w:hAnsi="Arial" w:cs="Arial"/>
          <w:lang w:val="en-GB"/>
        </w:rPr>
        <w:t>assumptions and presuppositions</w:t>
      </w:r>
      <w:r w:rsidR="00F67344" w:rsidRPr="005D6BE9">
        <w:rPr>
          <w:rFonts w:ascii="Arial" w:hAnsi="Arial" w:cs="Arial"/>
          <w:lang w:val="en-GB"/>
        </w:rPr>
        <w:t xml:space="preserve"> that</w:t>
      </w:r>
      <w:r w:rsidR="00E97532" w:rsidRPr="005D6BE9">
        <w:rPr>
          <w:rFonts w:ascii="Arial" w:hAnsi="Arial" w:cs="Arial"/>
          <w:lang w:val="en-GB"/>
        </w:rPr>
        <w:t xml:space="preserve"> are constructed in the </w:t>
      </w:r>
      <w:r w:rsidR="00E97532" w:rsidRPr="005D6BE9">
        <w:rPr>
          <w:rFonts w:ascii="Arial" w:hAnsi="Arial" w:cs="Arial"/>
          <w:i/>
          <w:iCs/>
          <w:lang w:val="en-GB"/>
        </w:rPr>
        <w:t>HPSR</w:t>
      </w:r>
      <w:r w:rsidR="00E97532" w:rsidRPr="005D6BE9">
        <w:rPr>
          <w:rFonts w:ascii="Arial" w:hAnsi="Arial" w:cs="Arial"/>
          <w:lang w:val="en-GB"/>
        </w:rPr>
        <w:t xml:space="preserve">. </w:t>
      </w:r>
      <w:r w:rsidR="003F1080" w:rsidRPr="005D6BE9">
        <w:rPr>
          <w:rFonts w:ascii="Arial" w:hAnsi="Arial" w:cs="Arial"/>
          <w:lang w:val="en-GB"/>
        </w:rPr>
        <w:t xml:space="preserve">The national human trafficking convictions provide vital data on the types of exploitation migrant sex workers may experience. While this data would not provide a whole picture, providing responses that addresses known types of exploitation has the potential to enhance the </w:t>
      </w:r>
      <w:r w:rsidR="003F1080" w:rsidRPr="005D6BE9">
        <w:rPr>
          <w:rFonts w:ascii="Arial" w:hAnsi="Arial" w:cs="Arial"/>
          <w:lang w:val="en-GB"/>
        </w:rPr>
        <w:lastRenderedPageBreak/>
        <w:t>effectiveness of the Australian response against human trafficking in the sex industry.</w:t>
      </w:r>
      <w:r w:rsidR="006A3D86" w:rsidRPr="005D6BE9">
        <w:rPr>
          <w:rFonts w:ascii="Arial" w:hAnsi="Arial" w:cs="Arial"/>
          <w:lang w:val="en-GB"/>
        </w:rPr>
        <w:t xml:space="preserve"> As highlighted above, </w:t>
      </w:r>
      <w:r w:rsidR="00A22D2D" w:rsidRPr="005D6BE9">
        <w:rPr>
          <w:rFonts w:ascii="Arial" w:hAnsi="Arial" w:cs="Arial"/>
          <w:lang w:val="en-GB"/>
        </w:rPr>
        <w:t xml:space="preserve">the </w:t>
      </w:r>
      <w:r w:rsidR="00F84398" w:rsidRPr="005D6BE9">
        <w:rPr>
          <w:rFonts w:ascii="Arial" w:hAnsi="Arial" w:cs="Arial"/>
          <w:lang w:val="en-GB"/>
        </w:rPr>
        <w:t xml:space="preserve">types of exploitation experienced by migrant sex workers has included </w:t>
      </w:r>
      <w:r w:rsidR="000F0802" w:rsidRPr="005D6BE9">
        <w:rPr>
          <w:rFonts w:ascii="Arial" w:hAnsi="Arial" w:cs="Arial"/>
          <w:lang w:val="en-GB"/>
        </w:rPr>
        <w:t xml:space="preserve">conditions akin to </w:t>
      </w:r>
      <w:r w:rsidR="00B85589" w:rsidRPr="005D6BE9">
        <w:rPr>
          <w:rFonts w:ascii="Arial" w:hAnsi="Arial" w:cs="Arial"/>
          <w:lang w:val="en-GB"/>
        </w:rPr>
        <w:t>extreme forms of</w:t>
      </w:r>
      <w:r w:rsidR="000F0802" w:rsidRPr="005D6BE9">
        <w:rPr>
          <w:rFonts w:ascii="Arial" w:hAnsi="Arial" w:cs="Arial"/>
          <w:lang w:val="en-GB"/>
        </w:rPr>
        <w:t xml:space="preserve"> labour exploitation. As a result, </w:t>
      </w:r>
      <w:r w:rsidR="002231C4" w:rsidRPr="005D6BE9">
        <w:rPr>
          <w:rFonts w:ascii="Arial" w:hAnsi="Arial" w:cs="Arial"/>
          <w:lang w:val="en-GB"/>
        </w:rPr>
        <w:t>reducing</w:t>
      </w:r>
      <w:r w:rsidR="000F0802" w:rsidRPr="005D6BE9">
        <w:rPr>
          <w:rFonts w:ascii="Arial" w:hAnsi="Arial" w:cs="Arial"/>
          <w:lang w:val="en-GB"/>
        </w:rPr>
        <w:t xml:space="preserve"> migrant sex workers </w:t>
      </w:r>
      <w:r w:rsidR="002231C4" w:rsidRPr="005D6BE9">
        <w:rPr>
          <w:rFonts w:ascii="Arial" w:hAnsi="Arial" w:cs="Arial"/>
          <w:lang w:val="en-GB"/>
        </w:rPr>
        <w:t xml:space="preserve">barriers to accessing </w:t>
      </w:r>
      <w:r w:rsidR="000F0802" w:rsidRPr="005D6BE9">
        <w:rPr>
          <w:rFonts w:ascii="Arial" w:hAnsi="Arial" w:cs="Arial"/>
          <w:lang w:val="en-GB"/>
        </w:rPr>
        <w:t xml:space="preserve">Australia’s labour rights </w:t>
      </w:r>
      <w:r w:rsidR="00581CEA" w:rsidRPr="005D6BE9">
        <w:rPr>
          <w:rFonts w:ascii="Arial" w:hAnsi="Arial" w:cs="Arial"/>
          <w:lang w:val="en-GB"/>
        </w:rPr>
        <w:t xml:space="preserve">framework </w:t>
      </w:r>
      <w:r w:rsidR="000519A4" w:rsidRPr="005D6BE9">
        <w:rPr>
          <w:rFonts w:ascii="Arial" w:hAnsi="Arial" w:cs="Arial"/>
          <w:lang w:val="en-GB"/>
        </w:rPr>
        <w:t xml:space="preserve">as part of the </w:t>
      </w:r>
      <w:r w:rsidR="009B2B7A" w:rsidRPr="005D6BE9">
        <w:rPr>
          <w:rFonts w:ascii="Arial" w:hAnsi="Arial" w:cs="Arial"/>
          <w:lang w:val="en-GB"/>
        </w:rPr>
        <w:t xml:space="preserve">human </w:t>
      </w:r>
      <w:r w:rsidR="000519A4" w:rsidRPr="005D6BE9">
        <w:rPr>
          <w:rFonts w:ascii="Arial" w:hAnsi="Arial" w:cs="Arial"/>
          <w:lang w:val="en-GB"/>
        </w:rPr>
        <w:t>trafficking response has the potential to</w:t>
      </w:r>
      <w:r w:rsidR="009B2B7A" w:rsidRPr="005D6BE9">
        <w:rPr>
          <w:rFonts w:ascii="Arial" w:hAnsi="Arial" w:cs="Arial"/>
          <w:lang w:val="en-GB"/>
        </w:rPr>
        <w:t xml:space="preserve"> reduce exploitation in the sex industry</w:t>
      </w:r>
      <w:r w:rsidR="000519A4" w:rsidRPr="005D6BE9">
        <w:rPr>
          <w:rFonts w:ascii="Arial" w:hAnsi="Arial" w:cs="Arial"/>
          <w:lang w:val="en-GB"/>
        </w:rPr>
        <w:t xml:space="preserve">. </w:t>
      </w:r>
      <w:r w:rsidR="003F1080" w:rsidRPr="005D6BE9">
        <w:rPr>
          <w:rFonts w:ascii="Arial" w:hAnsi="Arial" w:cs="Arial"/>
          <w:lang w:val="en-GB"/>
        </w:rPr>
        <w:t xml:space="preserve">Additionally, there is a noteworthy gap in scholarly research on how the unique structural factors in Australia, such as the immigration system and labour rights framework, may increase the risk of exploitation of migrant workers in different industries. To advance all migrant workers access to Australia’s </w:t>
      </w:r>
      <w:r w:rsidR="00C73450" w:rsidRPr="005D6BE9">
        <w:rPr>
          <w:rFonts w:ascii="Arial" w:hAnsi="Arial" w:cs="Arial"/>
          <w:lang w:val="en-GB"/>
        </w:rPr>
        <w:t>human trafficking</w:t>
      </w:r>
      <w:r w:rsidR="003F1080" w:rsidRPr="005D6BE9">
        <w:rPr>
          <w:rFonts w:ascii="Arial" w:hAnsi="Arial" w:cs="Arial"/>
          <w:lang w:val="en-GB"/>
        </w:rPr>
        <w:t xml:space="preserve"> response, it is vital that greater research into the types of exploitation and structural conditions that place migrant workers at risk of exploitation and create barriers to accessing support is e</w:t>
      </w:r>
      <w:r w:rsidR="00260353" w:rsidRPr="005D6BE9">
        <w:rPr>
          <w:rFonts w:ascii="Arial" w:hAnsi="Arial" w:cs="Arial"/>
          <w:lang w:val="en-GB"/>
        </w:rPr>
        <w:t>xamined</w:t>
      </w:r>
      <w:r w:rsidR="003F1080" w:rsidRPr="005D6BE9">
        <w:rPr>
          <w:rFonts w:ascii="Arial" w:hAnsi="Arial" w:cs="Arial"/>
          <w:lang w:val="en-GB"/>
        </w:rPr>
        <w:t>.</w:t>
      </w:r>
    </w:p>
    <w:p w14:paraId="7F538001" w14:textId="77777777" w:rsidR="00761DD6" w:rsidRPr="005D6BE9" w:rsidRDefault="00761DD6" w:rsidP="005D6BE9">
      <w:pPr>
        <w:spacing w:after="0" w:line="360" w:lineRule="auto"/>
        <w:ind w:firstLine="720"/>
        <w:jc w:val="both"/>
        <w:rPr>
          <w:rFonts w:ascii="Arial" w:hAnsi="Arial" w:cs="Arial"/>
          <w:lang w:val="en-GB"/>
        </w:rPr>
      </w:pPr>
    </w:p>
    <w:p w14:paraId="495246A1" w14:textId="77777777" w:rsidR="0003616C" w:rsidRPr="005D6BE9" w:rsidRDefault="0003616C" w:rsidP="005D6BE9">
      <w:pPr>
        <w:spacing w:after="0" w:line="360" w:lineRule="auto"/>
        <w:jc w:val="both"/>
        <w:rPr>
          <w:rFonts w:ascii="Arial" w:hAnsi="Arial" w:cs="Arial"/>
          <w:b/>
          <w:bCs/>
          <w:lang w:val="en-GB"/>
        </w:rPr>
      </w:pPr>
    </w:p>
    <w:p w14:paraId="0C3023FB" w14:textId="41629A21" w:rsidR="0005750F" w:rsidRDefault="00DE56E0" w:rsidP="005D6BE9">
      <w:pPr>
        <w:spacing w:after="0" w:line="360" w:lineRule="auto"/>
        <w:jc w:val="both"/>
        <w:rPr>
          <w:rFonts w:ascii="Arial" w:hAnsi="Arial" w:cs="Arial"/>
          <w:b/>
          <w:bCs/>
          <w:i/>
          <w:iCs/>
          <w:lang w:val="en-GB"/>
        </w:rPr>
      </w:pPr>
      <w:r w:rsidRPr="005D6BE9">
        <w:rPr>
          <w:rFonts w:ascii="Arial" w:hAnsi="Arial" w:cs="Arial"/>
          <w:b/>
          <w:bCs/>
          <w:i/>
          <w:iCs/>
          <w:lang w:val="en-GB"/>
        </w:rPr>
        <w:t xml:space="preserve">References </w:t>
      </w:r>
    </w:p>
    <w:p w14:paraId="7EBFAFE3" w14:textId="77777777" w:rsidR="00761DD6" w:rsidRPr="005D6BE9" w:rsidRDefault="00761DD6" w:rsidP="005D6BE9">
      <w:pPr>
        <w:spacing w:after="0" w:line="360" w:lineRule="auto"/>
        <w:jc w:val="both"/>
        <w:rPr>
          <w:rFonts w:ascii="Arial" w:hAnsi="Arial" w:cs="Arial"/>
          <w:b/>
          <w:bCs/>
          <w:i/>
          <w:iCs/>
          <w:lang w:val="en-GB"/>
        </w:rPr>
      </w:pPr>
    </w:p>
    <w:p w14:paraId="0BF62ECE" w14:textId="77EC05BD" w:rsidR="00BA248D"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Bacchi, C. (2009). </w:t>
      </w:r>
      <w:r w:rsidRPr="005D6BE9">
        <w:rPr>
          <w:rFonts w:ascii="Arial" w:hAnsi="Arial" w:cs="Arial"/>
          <w:i/>
          <w:lang w:val="en-GB"/>
        </w:rPr>
        <w:t xml:space="preserve">Analysing </w:t>
      </w:r>
      <w:r w:rsidR="004F3871">
        <w:rPr>
          <w:rFonts w:ascii="Arial" w:hAnsi="Arial" w:cs="Arial"/>
          <w:i/>
          <w:lang w:val="en-GB"/>
        </w:rPr>
        <w:t>P</w:t>
      </w:r>
      <w:r w:rsidRPr="005D6BE9">
        <w:rPr>
          <w:rFonts w:ascii="Arial" w:hAnsi="Arial" w:cs="Arial"/>
          <w:i/>
          <w:lang w:val="en-GB"/>
        </w:rPr>
        <w:t xml:space="preserve">olicy: What’s the </w:t>
      </w:r>
      <w:r w:rsidR="004F3871">
        <w:rPr>
          <w:rFonts w:ascii="Arial" w:hAnsi="Arial" w:cs="Arial"/>
          <w:i/>
          <w:lang w:val="en-GB"/>
        </w:rPr>
        <w:t>P</w:t>
      </w:r>
      <w:r w:rsidRPr="005D6BE9">
        <w:rPr>
          <w:rFonts w:ascii="Arial" w:hAnsi="Arial" w:cs="Arial"/>
          <w:i/>
          <w:lang w:val="en-GB"/>
        </w:rPr>
        <w:t xml:space="preserve">roblem </w:t>
      </w:r>
      <w:r w:rsidR="004F3871">
        <w:rPr>
          <w:rFonts w:ascii="Arial" w:hAnsi="Arial" w:cs="Arial"/>
          <w:i/>
          <w:lang w:val="en-GB"/>
        </w:rPr>
        <w:t>R</w:t>
      </w:r>
      <w:r w:rsidRPr="005D6BE9">
        <w:rPr>
          <w:rFonts w:ascii="Arial" w:hAnsi="Arial" w:cs="Arial"/>
          <w:i/>
          <w:lang w:val="en-GB"/>
        </w:rPr>
        <w:t xml:space="preserve">epresented to </w:t>
      </w:r>
      <w:r w:rsidR="004F3871">
        <w:rPr>
          <w:rFonts w:ascii="Arial" w:hAnsi="Arial" w:cs="Arial"/>
          <w:i/>
          <w:lang w:val="en-GB"/>
        </w:rPr>
        <w:t>B</w:t>
      </w:r>
      <w:r w:rsidRPr="005D6BE9">
        <w:rPr>
          <w:rFonts w:ascii="Arial" w:hAnsi="Arial" w:cs="Arial"/>
          <w:i/>
          <w:lang w:val="en-GB"/>
        </w:rPr>
        <w:t>e?</w:t>
      </w:r>
      <w:r w:rsidRPr="005D6BE9">
        <w:rPr>
          <w:rFonts w:ascii="Arial" w:hAnsi="Arial" w:cs="Arial"/>
          <w:lang w:val="en-GB"/>
        </w:rPr>
        <w:t xml:space="preserve"> Australia: Pearson.</w:t>
      </w:r>
    </w:p>
    <w:p w14:paraId="1C834B07" w14:textId="77777777" w:rsidR="00761DD6" w:rsidRPr="005D6BE9" w:rsidRDefault="00761DD6" w:rsidP="005D6BE9">
      <w:pPr>
        <w:pStyle w:val="EndNoteBibliography"/>
        <w:spacing w:after="0" w:line="360" w:lineRule="auto"/>
        <w:jc w:val="both"/>
        <w:rPr>
          <w:rFonts w:ascii="Arial" w:hAnsi="Arial" w:cs="Arial"/>
          <w:lang w:val="en-GB"/>
        </w:rPr>
      </w:pPr>
    </w:p>
    <w:p w14:paraId="62CBCB55" w14:textId="0BBE1D88"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Bacchi, C., &amp; Goodwin, S. (2016). </w:t>
      </w:r>
      <w:r w:rsidRPr="005D6BE9">
        <w:rPr>
          <w:rFonts w:ascii="Arial" w:hAnsi="Arial" w:cs="Arial"/>
          <w:i/>
          <w:lang w:val="en-GB"/>
        </w:rPr>
        <w:t xml:space="preserve">Poststructural </w:t>
      </w:r>
      <w:r w:rsidR="004F3871">
        <w:rPr>
          <w:rFonts w:ascii="Arial" w:hAnsi="Arial" w:cs="Arial"/>
          <w:i/>
          <w:lang w:val="en-GB"/>
        </w:rPr>
        <w:t>P</w:t>
      </w:r>
      <w:r w:rsidRPr="005D6BE9">
        <w:rPr>
          <w:rFonts w:ascii="Arial" w:hAnsi="Arial" w:cs="Arial"/>
          <w:i/>
          <w:lang w:val="en-GB"/>
        </w:rPr>
        <w:t xml:space="preserve">olicy </w:t>
      </w:r>
      <w:r w:rsidR="004F3871">
        <w:rPr>
          <w:rFonts w:ascii="Arial" w:hAnsi="Arial" w:cs="Arial"/>
          <w:i/>
          <w:lang w:val="en-GB"/>
        </w:rPr>
        <w:t>A</w:t>
      </w:r>
      <w:r w:rsidRPr="005D6BE9">
        <w:rPr>
          <w:rFonts w:ascii="Arial" w:hAnsi="Arial" w:cs="Arial"/>
          <w:i/>
          <w:lang w:val="en-GB"/>
        </w:rPr>
        <w:t xml:space="preserve">nalysis: A </w:t>
      </w:r>
      <w:r w:rsidR="004F3871">
        <w:rPr>
          <w:rFonts w:ascii="Arial" w:hAnsi="Arial" w:cs="Arial"/>
          <w:i/>
          <w:lang w:val="en-GB"/>
        </w:rPr>
        <w:t>G</w:t>
      </w:r>
      <w:r w:rsidRPr="005D6BE9">
        <w:rPr>
          <w:rFonts w:ascii="Arial" w:hAnsi="Arial" w:cs="Arial"/>
          <w:i/>
          <w:lang w:val="en-GB"/>
        </w:rPr>
        <w:t xml:space="preserve">uide to </w:t>
      </w:r>
      <w:r w:rsidR="004F3871">
        <w:rPr>
          <w:rFonts w:ascii="Arial" w:hAnsi="Arial" w:cs="Arial"/>
          <w:i/>
          <w:lang w:val="en-GB"/>
        </w:rPr>
        <w:t>P</w:t>
      </w:r>
      <w:r w:rsidRPr="005D6BE9">
        <w:rPr>
          <w:rFonts w:ascii="Arial" w:hAnsi="Arial" w:cs="Arial"/>
          <w:i/>
          <w:lang w:val="en-GB"/>
        </w:rPr>
        <w:t>ractice</w:t>
      </w:r>
      <w:r w:rsidRPr="005D6BE9">
        <w:rPr>
          <w:rFonts w:ascii="Arial" w:hAnsi="Arial" w:cs="Arial"/>
          <w:lang w:val="en-GB"/>
        </w:rPr>
        <w:t>. New York: Springer.</w:t>
      </w:r>
    </w:p>
    <w:p w14:paraId="66E1C1DB" w14:textId="77777777" w:rsidR="00BA248D" w:rsidRPr="005D6BE9" w:rsidRDefault="00BA248D" w:rsidP="005D6BE9">
      <w:pPr>
        <w:pStyle w:val="EndNoteBibliography"/>
        <w:spacing w:after="0" w:line="360" w:lineRule="auto"/>
        <w:jc w:val="both"/>
        <w:rPr>
          <w:rFonts w:ascii="Arial" w:hAnsi="Arial" w:cs="Arial"/>
          <w:lang w:val="en-GB"/>
        </w:rPr>
      </w:pPr>
    </w:p>
    <w:p w14:paraId="34B1D4C1" w14:textId="2D62A164" w:rsidR="001A5507" w:rsidRPr="005D6BE9" w:rsidRDefault="00AF5405"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CATWA. (na). </w:t>
      </w:r>
      <w:r w:rsidR="00AB7C4A" w:rsidRPr="005D6BE9">
        <w:rPr>
          <w:rFonts w:ascii="Arial" w:hAnsi="Arial" w:cs="Arial"/>
          <w:lang w:val="en-GB"/>
        </w:rPr>
        <w:t>‘</w:t>
      </w:r>
      <w:r w:rsidRPr="005D6BE9">
        <w:rPr>
          <w:rFonts w:ascii="Arial" w:hAnsi="Arial" w:cs="Arial"/>
          <w:lang w:val="en-GB"/>
        </w:rPr>
        <w:t>About CATWA</w:t>
      </w:r>
      <w:r w:rsidR="00AB7C4A" w:rsidRPr="005D6BE9">
        <w:rPr>
          <w:rFonts w:ascii="Arial" w:hAnsi="Arial" w:cs="Arial"/>
          <w:lang w:val="en-GB"/>
        </w:rPr>
        <w:t>’</w:t>
      </w:r>
      <w:r w:rsidRPr="005D6BE9">
        <w:rPr>
          <w:rFonts w:ascii="Arial" w:hAnsi="Arial" w:cs="Arial"/>
          <w:lang w:val="en-GB"/>
        </w:rPr>
        <w:t xml:space="preserve">. Retrieved </w:t>
      </w:r>
      <w:r w:rsidR="00704AEE" w:rsidRPr="005D6BE9">
        <w:rPr>
          <w:rFonts w:ascii="Arial" w:hAnsi="Arial" w:cs="Arial"/>
          <w:lang w:val="en-GB"/>
        </w:rPr>
        <w:t>October</w:t>
      </w:r>
      <w:r w:rsidRPr="005D6BE9">
        <w:rPr>
          <w:rFonts w:ascii="Arial" w:hAnsi="Arial" w:cs="Arial"/>
          <w:lang w:val="en-GB"/>
        </w:rPr>
        <w:t xml:space="preserve"> 2</w:t>
      </w:r>
      <w:r w:rsidR="00704AEE" w:rsidRPr="005D6BE9">
        <w:rPr>
          <w:rFonts w:ascii="Arial" w:hAnsi="Arial" w:cs="Arial"/>
          <w:lang w:val="en-GB"/>
        </w:rPr>
        <w:t>6</w:t>
      </w:r>
      <w:r w:rsidRPr="005D6BE9">
        <w:rPr>
          <w:rFonts w:ascii="Arial" w:hAnsi="Arial" w:cs="Arial"/>
          <w:lang w:val="en-GB"/>
        </w:rPr>
        <w:t>, 20</w:t>
      </w:r>
      <w:r w:rsidR="00704AEE" w:rsidRPr="005D6BE9">
        <w:rPr>
          <w:rFonts w:ascii="Arial" w:hAnsi="Arial" w:cs="Arial"/>
          <w:lang w:val="en-GB"/>
        </w:rPr>
        <w:t>21</w:t>
      </w:r>
      <w:r w:rsidRPr="005D6BE9">
        <w:rPr>
          <w:rFonts w:ascii="Arial" w:hAnsi="Arial" w:cs="Arial"/>
          <w:lang w:val="en-GB"/>
        </w:rPr>
        <w:t xml:space="preserve">, </w:t>
      </w:r>
      <w:r w:rsidR="00066CD0" w:rsidRPr="005D6BE9">
        <w:rPr>
          <w:rFonts w:ascii="Arial" w:hAnsi="Arial" w:cs="Arial"/>
          <w:lang w:val="en-GB"/>
        </w:rPr>
        <w:t xml:space="preserve">Available: </w:t>
      </w:r>
      <w:r w:rsidR="001A5507" w:rsidRPr="001552EB">
        <w:rPr>
          <w:rFonts w:ascii="Arial" w:hAnsi="Arial" w:cs="Arial"/>
          <w:lang w:val="en-GB"/>
        </w:rPr>
        <w:t>https://www.catwa.org.au/</w:t>
      </w:r>
      <w:r w:rsidR="001A5507" w:rsidRPr="005D6BE9">
        <w:rPr>
          <w:rFonts w:ascii="Arial" w:hAnsi="Arial" w:cs="Arial"/>
          <w:lang w:val="en-GB"/>
        </w:rPr>
        <w:t xml:space="preserve">. </w:t>
      </w:r>
    </w:p>
    <w:p w14:paraId="352033BA" w14:textId="77777777" w:rsidR="00BA248D" w:rsidRPr="005D6BE9" w:rsidRDefault="00BA248D" w:rsidP="005D6BE9">
      <w:pPr>
        <w:pStyle w:val="EndNoteBibliography"/>
        <w:spacing w:after="0" w:line="360" w:lineRule="auto"/>
        <w:jc w:val="both"/>
        <w:rPr>
          <w:rFonts w:ascii="Arial" w:hAnsi="Arial" w:cs="Arial"/>
          <w:lang w:val="en-GB"/>
        </w:rPr>
      </w:pPr>
    </w:p>
    <w:p w14:paraId="3F44569E" w14:textId="62CF85E5"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Carson, L., &amp; Edwards, K. (2011). </w:t>
      </w:r>
      <w:r w:rsidR="00AB7C4A" w:rsidRPr="005D6BE9">
        <w:rPr>
          <w:rFonts w:ascii="Arial" w:hAnsi="Arial" w:cs="Arial"/>
          <w:lang w:val="en-GB"/>
        </w:rPr>
        <w:t>‘</w:t>
      </w:r>
      <w:r w:rsidRPr="005D6BE9">
        <w:rPr>
          <w:rFonts w:ascii="Arial" w:hAnsi="Arial" w:cs="Arial"/>
          <w:lang w:val="en-GB"/>
        </w:rPr>
        <w:t xml:space="preserve">Prostitution and </w:t>
      </w:r>
      <w:r w:rsidR="004F3871">
        <w:rPr>
          <w:rFonts w:ascii="Arial" w:hAnsi="Arial" w:cs="Arial"/>
          <w:lang w:val="en-GB"/>
        </w:rPr>
        <w:t>S</w:t>
      </w:r>
      <w:r w:rsidRPr="005D6BE9">
        <w:rPr>
          <w:rFonts w:ascii="Arial" w:hAnsi="Arial" w:cs="Arial"/>
          <w:lang w:val="en-GB"/>
        </w:rPr>
        <w:t xml:space="preserve">ex </w:t>
      </w:r>
      <w:r w:rsidR="004F3871">
        <w:rPr>
          <w:rFonts w:ascii="Arial" w:hAnsi="Arial" w:cs="Arial"/>
          <w:lang w:val="en-GB"/>
        </w:rPr>
        <w:t>T</w:t>
      </w:r>
      <w:r w:rsidRPr="005D6BE9">
        <w:rPr>
          <w:rFonts w:ascii="Arial" w:hAnsi="Arial" w:cs="Arial"/>
          <w:lang w:val="en-GB"/>
        </w:rPr>
        <w:t xml:space="preserve">rafficking: What are the </w:t>
      </w:r>
      <w:r w:rsidR="004F3871">
        <w:rPr>
          <w:rFonts w:ascii="Arial" w:hAnsi="Arial" w:cs="Arial"/>
          <w:lang w:val="en-GB"/>
        </w:rPr>
        <w:t>P</w:t>
      </w:r>
      <w:r w:rsidRPr="005D6BE9">
        <w:rPr>
          <w:rFonts w:ascii="Arial" w:hAnsi="Arial" w:cs="Arial"/>
          <w:lang w:val="en-GB"/>
        </w:rPr>
        <w:t xml:space="preserve">roblems </w:t>
      </w:r>
      <w:r w:rsidR="004F3871">
        <w:rPr>
          <w:rFonts w:ascii="Arial" w:hAnsi="Arial" w:cs="Arial"/>
          <w:lang w:val="en-GB"/>
        </w:rPr>
        <w:t>R</w:t>
      </w:r>
      <w:r w:rsidRPr="005D6BE9">
        <w:rPr>
          <w:rFonts w:ascii="Arial" w:hAnsi="Arial" w:cs="Arial"/>
          <w:lang w:val="en-GB"/>
        </w:rPr>
        <w:t xml:space="preserve">epresented to be? A </w:t>
      </w:r>
      <w:r w:rsidR="004F3871">
        <w:rPr>
          <w:rFonts w:ascii="Arial" w:hAnsi="Arial" w:cs="Arial"/>
          <w:lang w:val="en-GB"/>
        </w:rPr>
        <w:t>D</w:t>
      </w:r>
      <w:r w:rsidRPr="005D6BE9">
        <w:rPr>
          <w:rFonts w:ascii="Arial" w:hAnsi="Arial" w:cs="Arial"/>
          <w:lang w:val="en-GB"/>
        </w:rPr>
        <w:t xml:space="preserve">iscursive </w:t>
      </w:r>
      <w:r w:rsidR="004F3871">
        <w:rPr>
          <w:rFonts w:ascii="Arial" w:hAnsi="Arial" w:cs="Arial"/>
          <w:lang w:val="en-GB"/>
        </w:rPr>
        <w:t>A</w:t>
      </w:r>
      <w:r w:rsidRPr="005D6BE9">
        <w:rPr>
          <w:rFonts w:ascii="Arial" w:hAnsi="Arial" w:cs="Arial"/>
          <w:lang w:val="en-GB"/>
        </w:rPr>
        <w:t xml:space="preserve">nalysis of </w:t>
      </w:r>
      <w:r w:rsidR="004F3871">
        <w:rPr>
          <w:rFonts w:ascii="Arial" w:hAnsi="Arial" w:cs="Arial"/>
          <w:lang w:val="en-GB"/>
        </w:rPr>
        <w:t>L</w:t>
      </w:r>
      <w:r w:rsidRPr="005D6BE9">
        <w:rPr>
          <w:rFonts w:ascii="Arial" w:hAnsi="Arial" w:cs="Arial"/>
          <w:lang w:val="en-GB"/>
        </w:rPr>
        <w:t xml:space="preserve">aw and </w:t>
      </w:r>
      <w:r w:rsidR="004F3871">
        <w:rPr>
          <w:rFonts w:ascii="Arial" w:hAnsi="Arial" w:cs="Arial"/>
          <w:lang w:val="en-GB"/>
        </w:rPr>
        <w:t>P</w:t>
      </w:r>
      <w:r w:rsidRPr="005D6BE9">
        <w:rPr>
          <w:rFonts w:ascii="Arial" w:hAnsi="Arial" w:cs="Arial"/>
          <w:lang w:val="en-GB"/>
        </w:rPr>
        <w:t>olicy in Sweden and Victoria, Australia</w:t>
      </w:r>
      <w:r w:rsidR="00AB7C4A" w:rsidRPr="005D6BE9">
        <w:rPr>
          <w:rFonts w:ascii="Arial" w:hAnsi="Arial" w:cs="Arial"/>
          <w:lang w:val="en-GB"/>
        </w:rPr>
        <w:t>’</w:t>
      </w:r>
      <w:r w:rsidRPr="005D6BE9">
        <w:rPr>
          <w:rFonts w:ascii="Arial" w:hAnsi="Arial" w:cs="Arial"/>
          <w:lang w:val="en-GB"/>
        </w:rPr>
        <w:t xml:space="preserve">. </w:t>
      </w:r>
      <w:r w:rsidRPr="005D6BE9">
        <w:rPr>
          <w:rFonts w:ascii="Arial" w:hAnsi="Arial" w:cs="Arial"/>
          <w:i/>
          <w:lang w:val="en-GB"/>
        </w:rPr>
        <w:t xml:space="preserve">Australian Feminist Law Journal, </w:t>
      </w:r>
      <w:r w:rsidRPr="005D6BE9">
        <w:rPr>
          <w:rFonts w:ascii="Arial" w:hAnsi="Arial" w:cs="Arial"/>
          <w:iCs/>
          <w:lang w:val="en-GB"/>
        </w:rPr>
        <w:t>34</w:t>
      </w:r>
      <w:r w:rsidRPr="005D6BE9">
        <w:rPr>
          <w:rFonts w:ascii="Arial" w:hAnsi="Arial" w:cs="Arial"/>
          <w:lang w:val="en-GB"/>
        </w:rPr>
        <w:t xml:space="preserve">(1), 63-87. </w:t>
      </w:r>
    </w:p>
    <w:p w14:paraId="0A9AECDC" w14:textId="77777777" w:rsidR="00BA248D" w:rsidRPr="005D6BE9" w:rsidRDefault="00BA248D" w:rsidP="005D6BE9">
      <w:pPr>
        <w:pStyle w:val="EndNoteBibliography"/>
        <w:spacing w:after="0" w:line="360" w:lineRule="auto"/>
        <w:jc w:val="both"/>
        <w:rPr>
          <w:rFonts w:ascii="Arial" w:hAnsi="Arial" w:cs="Arial"/>
          <w:lang w:val="en-GB"/>
        </w:rPr>
      </w:pPr>
    </w:p>
    <w:p w14:paraId="3BBBC3F7" w14:textId="45DF94CB"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Chapkis, W. (2005). </w:t>
      </w:r>
      <w:r w:rsidR="00AB7C4A" w:rsidRPr="005D6BE9">
        <w:rPr>
          <w:rFonts w:ascii="Arial" w:hAnsi="Arial" w:cs="Arial"/>
          <w:lang w:val="en-GB"/>
        </w:rPr>
        <w:t>‘</w:t>
      </w:r>
      <w:r w:rsidRPr="005D6BE9">
        <w:rPr>
          <w:rFonts w:ascii="Arial" w:hAnsi="Arial" w:cs="Arial"/>
          <w:lang w:val="en-GB"/>
        </w:rPr>
        <w:t xml:space="preserve">Soft </w:t>
      </w:r>
      <w:r w:rsidR="004F3871">
        <w:rPr>
          <w:rFonts w:ascii="Arial" w:hAnsi="Arial" w:cs="Arial"/>
          <w:lang w:val="en-GB"/>
        </w:rPr>
        <w:t>G</w:t>
      </w:r>
      <w:r w:rsidRPr="005D6BE9">
        <w:rPr>
          <w:rFonts w:ascii="Arial" w:hAnsi="Arial" w:cs="Arial"/>
          <w:lang w:val="en-GB"/>
        </w:rPr>
        <w:t xml:space="preserve">love, </w:t>
      </w:r>
      <w:r w:rsidR="004F3871">
        <w:rPr>
          <w:rFonts w:ascii="Arial" w:hAnsi="Arial" w:cs="Arial"/>
          <w:lang w:val="en-GB"/>
        </w:rPr>
        <w:t>P</w:t>
      </w:r>
      <w:r w:rsidRPr="005D6BE9">
        <w:rPr>
          <w:rFonts w:ascii="Arial" w:hAnsi="Arial" w:cs="Arial"/>
          <w:lang w:val="en-GB"/>
        </w:rPr>
        <w:t xml:space="preserve">unishing </w:t>
      </w:r>
      <w:r w:rsidR="004F3871">
        <w:rPr>
          <w:rFonts w:ascii="Arial" w:hAnsi="Arial" w:cs="Arial"/>
          <w:lang w:val="en-GB"/>
        </w:rPr>
        <w:t>F</w:t>
      </w:r>
      <w:r w:rsidRPr="005D6BE9">
        <w:rPr>
          <w:rFonts w:ascii="Arial" w:hAnsi="Arial" w:cs="Arial"/>
          <w:lang w:val="en-GB"/>
        </w:rPr>
        <w:t>ist: the Trafficking Victims Protection Act of 2000</w:t>
      </w:r>
      <w:r w:rsidR="00AB7C4A" w:rsidRPr="005D6BE9">
        <w:rPr>
          <w:rFonts w:ascii="Arial" w:hAnsi="Arial" w:cs="Arial"/>
          <w:lang w:val="en-GB"/>
        </w:rPr>
        <w:t>’</w:t>
      </w:r>
      <w:r w:rsidRPr="005D6BE9">
        <w:rPr>
          <w:rFonts w:ascii="Arial" w:hAnsi="Arial" w:cs="Arial"/>
          <w:lang w:val="en-GB"/>
        </w:rPr>
        <w:t xml:space="preserve">. </w:t>
      </w:r>
      <w:r w:rsidR="00AB7C4A" w:rsidRPr="005D6BE9">
        <w:rPr>
          <w:rFonts w:ascii="Arial" w:hAnsi="Arial" w:cs="Arial"/>
          <w:lang w:val="en-GB"/>
        </w:rPr>
        <w:t>In Bernstein, E. and Schaffner, L. (eds.)</w:t>
      </w:r>
      <w:r w:rsidR="005C30D7" w:rsidRPr="005D6BE9">
        <w:rPr>
          <w:rFonts w:ascii="Arial" w:hAnsi="Arial" w:cs="Arial"/>
          <w:lang w:val="en-GB"/>
        </w:rPr>
        <w:t xml:space="preserve">, </w:t>
      </w:r>
      <w:r w:rsidRPr="005D6BE9">
        <w:rPr>
          <w:rFonts w:ascii="Arial" w:hAnsi="Arial" w:cs="Arial"/>
          <w:i/>
          <w:iCs/>
          <w:lang w:val="en-GB"/>
        </w:rPr>
        <w:t xml:space="preserve">Regulating </w:t>
      </w:r>
      <w:r w:rsidR="00AB7C4A" w:rsidRPr="005D6BE9">
        <w:rPr>
          <w:rFonts w:ascii="Arial" w:hAnsi="Arial" w:cs="Arial"/>
          <w:i/>
          <w:iCs/>
          <w:lang w:val="en-GB"/>
        </w:rPr>
        <w:t>S</w:t>
      </w:r>
      <w:r w:rsidRPr="005D6BE9">
        <w:rPr>
          <w:rFonts w:ascii="Arial" w:hAnsi="Arial" w:cs="Arial"/>
          <w:i/>
          <w:iCs/>
          <w:lang w:val="en-GB"/>
        </w:rPr>
        <w:t xml:space="preserve">ex: The </w:t>
      </w:r>
      <w:r w:rsidR="00AB7C4A" w:rsidRPr="005D6BE9">
        <w:rPr>
          <w:rFonts w:ascii="Arial" w:hAnsi="Arial" w:cs="Arial"/>
          <w:i/>
          <w:iCs/>
          <w:lang w:val="en-GB"/>
        </w:rPr>
        <w:t>P</w:t>
      </w:r>
      <w:r w:rsidRPr="005D6BE9">
        <w:rPr>
          <w:rFonts w:ascii="Arial" w:hAnsi="Arial" w:cs="Arial"/>
          <w:i/>
          <w:iCs/>
          <w:lang w:val="en-GB"/>
        </w:rPr>
        <w:t xml:space="preserve">olitics of </w:t>
      </w:r>
      <w:r w:rsidR="00AB7C4A" w:rsidRPr="005D6BE9">
        <w:rPr>
          <w:rFonts w:ascii="Arial" w:hAnsi="Arial" w:cs="Arial"/>
          <w:i/>
          <w:iCs/>
          <w:lang w:val="en-GB"/>
        </w:rPr>
        <w:t>I</w:t>
      </w:r>
      <w:r w:rsidRPr="005D6BE9">
        <w:rPr>
          <w:rFonts w:ascii="Arial" w:hAnsi="Arial" w:cs="Arial"/>
          <w:i/>
          <w:iCs/>
          <w:lang w:val="en-GB"/>
        </w:rPr>
        <w:t xml:space="preserve">ntimacy and </w:t>
      </w:r>
      <w:r w:rsidR="00AB7C4A" w:rsidRPr="005D6BE9">
        <w:rPr>
          <w:rFonts w:ascii="Arial" w:hAnsi="Arial" w:cs="Arial"/>
          <w:i/>
          <w:iCs/>
          <w:lang w:val="en-GB"/>
        </w:rPr>
        <w:t>I</w:t>
      </w:r>
      <w:r w:rsidRPr="005D6BE9">
        <w:rPr>
          <w:rFonts w:ascii="Arial" w:hAnsi="Arial" w:cs="Arial"/>
          <w:i/>
          <w:iCs/>
          <w:lang w:val="en-GB"/>
        </w:rPr>
        <w:t>dentity</w:t>
      </w:r>
      <w:r w:rsidR="005C30D7" w:rsidRPr="005D6BE9">
        <w:rPr>
          <w:rFonts w:ascii="Arial" w:hAnsi="Arial" w:cs="Arial"/>
          <w:lang w:val="en-GB"/>
        </w:rPr>
        <w:t>.</w:t>
      </w:r>
      <w:r w:rsidRPr="005D6BE9">
        <w:rPr>
          <w:rFonts w:ascii="Arial" w:hAnsi="Arial" w:cs="Arial"/>
          <w:lang w:val="en-GB"/>
        </w:rPr>
        <w:t xml:space="preserve"> </w:t>
      </w:r>
      <w:r w:rsidR="005C30D7" w:rsidRPr="005D6BE9">
        <w:rPr>
          <w:rFonts w:ascii="Arial" w:hAnsi="Arial" w:cs="Arial"/>
          <w:lang w:val="en-GB"/>
        </w:rPr>
        <w:t xml:space="preserve">Routledge: Oxford, </w:t>
      </w:r>
      <w:r w:rsidRPr="005D6BE9">
        <w:rPr>
          <w:rFonts w:ascii="Arial" w:hAnsi="Arial" w:cs="Arial"/>
          <w:lang w:val="en-GB"/>
        </w:rPr>
        <w:t>51-65.</w:t>
      </w:r>
    </w:p>
    <w:p w14:paraId="08A154FE" w14:textId="77777777" w:rsidR="00BA248D" w:rsidRPr="005D6BE9" w:rsidRDefault="00BA248D" w:rsidP="005D6BE9">
      <w:pPr>
        <w:pStyle w:val="EndNoteBibliography"/>
        <w:spacing w:after="0" w:line="360" w:lineRule="auto"/>
        <w:jc w:val="both"/>
        <w:rPr>
          <w:rFonts w:ascii="Arial" w:hAnsi="Arial" w:cs="Arial"/>
          <w:lang w:val="en-GB"/>
        </w:rPr>
      </w:pPr>
    </w:p>
    <w:p w14:paraId="2D59A908" w14:textId="4CDC66FC"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Commonwealth of Australia. (2014). </w:t>
      </w:r>
      <w:r w:rsidRPr="005D6BE9">
        <w:rPr>
          <w:rFonts w:ascii="Arial" w:hAnsi="Arial" w:cs="Arial"/>
          <w:i/>
          <w:lang w:val="en-GB"/>
        </w:rPr>
        <w:t>National Action Plan to Combat Human Trafficking and Slavery 2015–19</w:t>
      </w:r>
      <w:r w:rsidRPr="005D6BE9">
        <w:rPr>
          <w:rFonts w:ascii="Arial" w:hAnsi="Arial" w:cs="Arial"/>
          <w:lang w:val="en-GB"/>
        </w:rPr>
        <w:t xml:space="preserve">.  </w:t>
      </w:r>
      <w:r w:rsidR="00F60E93" w:rsidRPr="005D6BE9">
        <w:rPr>
          <w:rFonts w:ascii="Arial" w:hAnsi="Arial" w:cs="Arial"/>
          <w:lang w:val="en-GB"/>
        </w:rPr>
        <w:t>Available:</w:t>
      </w:r>
      <w:r w:rsidRPr="005D6BE9">
        <w:rPr>
          <w:rFonts w:ascii="Arial" w:hAnsi="Arial" w:cs="Arial"/>
          <w:lang w:val="en-GB"/>
        </w:rPr>
        <w:t xml:space="preserve"> </w:t>
      </w:r>
      <w:r w:rsidR="00BA248D" w:rsidRPr="001552EB">
        <w:rPr>
          <w:rFonts w:ascii="Arial" w:hAnsi="Arial" w:cs="Arial"/>
          <w:lang w:val="en-GB"/>
        </w:rPr>
        <w:t>https://www.homeaffairs.gov.au/criminal-justice/files/trafficking-national-action-plan-combat-human-trafficking-slavery-2015-19.pdf</w:t>
      </w:r>
      <w:r w:rsidRPr="005D6BE9">
        <w:rPr>
          <w:rFonts w:ascii="Arial" w:hAnsi="Arial" w:cs="Arial"/>
          <w:lang w:val="en-GB"/>
        </w:rPr>
        <w:t>.</w:t>
      </w:r>
    </w:p>
    <w:p w14:paraId="309D53E9" w14:textId="77777777" w:rsidR="00BA248D" w:rsidRPr="005D6BE9" w:rsidRDefault="00BA248D" w:rsidP="005D6BE9">
      <w:pPr>
        <w:pStyle w:val="EndNoteBibliography"/>
        <w:spacing w:after="0" w:line="360" w:lineRule="auto"/>
        <w:jc w:val="both"/>
        <w:rPr>
          <w:rFonts w:ascii="Arial" w:hAnsi="Arial" w:cs="Arial"/>
          <w:lang w:val="en-GB"/>
        </w:rPr>
      </w:pPr>
    </w:p>
    <w:p w14:paraId="7E6D9339" w14:textId="1EE5B2D7"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lastRenderedPageBreak/>
        <w:t xml:space="preserve">Cth. Parliamentary Debate. The Senate. 24 March 1999. No 194. 3075. </w:t>
      </w:r>
      <w:r w:rsidR="00066CD0" w:rsidRPr="005D6BE9">
        <w:rPr>
          <w:rFonts w:ascii="Arial" w:hAnsi="Arial" w:cs="Arial"/>
          <w:lang w:val="en-GB"/>
        </w:rPr>
        <w:t>Available:</w:t>
      </w:r>
      <w:r w:rsidRPr="005D6BE9">
        <w:rPr>
          <w:rFonts w:ascii="Arial" w:hAnsi="Arial" w:cs="Arial"/>
          <w:lang w:val="en-GB"/>
        </w:rPr>
        <w:t xml:space="preserve"> </w:t>
      </w:r>
      <w:r w:rsidRPr="001552EB">
        <w:rPr>
          <w:rFonts w:ascii="Arial" w:hAnsi="Arial" w:cs="Arial"/>
          <w:lang w:val="en-GB"/>
        </w:rPr>
        <w:t>https://parlinfo.aph.gov.au/parlInfo/download/chamber/hansards/1999-03-24/toc_pdf/S%201999-03-24.pdf;fileType=application%2Fpdf#search=%22chamber/hansards/1999-03-24/0008%22</w:t>
      </w:r>
      <w:r w:rsidRPr="005D6BE9">
        <w:rPr>
          <w:rFonts w:ascii="Arial" w:hAnsi="Arial" w:cs="Arial"/>
          <w:lang w:val="en-GB"/>
        </w:rPr>
        <w:t xml:space="preserve">. </w:t>
      </w:r>
    </w:p>
    <w:p w14:paraId="6A74DF1F" w14:textId="77777777" w:rsidR="00BA248D" w:rsidRPr="005D6BE9" w:rsidRDefault="00BA248D" w:rsidP="005D6BE9">
      <w:pPr>
        <w:pStyle w:val="EndNoteBibliography"/>
        <w:spacing w:after="0" w:line="360" w:lineRule="auto"/>
        <w:jc w:val="both"/>
        <w:rPr>
          <w:rFonts w:ascii="Arial" w:hAnsi="Arial" w:cs="Arial"/>
          <w:lang w:val="en-GB"/>
        </w:rPr>
      </w:pPr>
    </w:p>
    <w:p w14:paraId="79BB18A6" w14:textId="6FB5FCA3"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English Collective of Prostitutes. (na). </w:t>
      </w:r>
      <w:r w:rsidRPr="005D6BE9">
        <w:rPr>
          <w:rFonts w:ascii="Arial" w:hAnsi="Arial" w:cs="Arial"/>
          <w:i/>
          <w:lang w:val="en-GB"/>
        </w:rPr>
        <w:t xml:space="preserve">Prostitution: </w:t>
      </w:r>
      <w:r w:rsidR="004F3871">
        <w:rPr>
          <w:rFonts w:ascii="Arial" w:hAnsi="Arial" w:cs="Arial"/>
          <w:i/>
          <w:lang w:val="en-GB"/>
        </w:rPr>
        <w:t>W</w:t>
      </w:r>
      <w:r w:rsidRPr="005D6BE9">
        <w:rPr>
          <w:rFonts w:ascii="Arial" w:hAnsi="Arial" w:cs="Arial"/>
          <w:i/>
          <w:lang w:val="en-GB"/>
        </w:rPr>
        <w:t xml:space="preserve">hat you </w:t>
      </w:r>
      <w:r w:rsidR="004F3871">
        <w:rPr>
          <w:rFonts w:ascii="Arial" w:hAnsi="Arial" w:cs="Arial"/>
          <w:i/>
          <w:lang w:val="en-GB"/>
        </w:rPr>
        <w:t>N</w:t>
      </w:r>
      <w:r w:rsidRPr="005D6BE9">
        <w:rPr>
          <w:rFonts w:ascii="Arial" w:hAnsi="Arial" w:cs="Arial"/>
          <w:i/>
          <w:lang w:val="en-GB"/>
        </w:rPr>
        <w:t xml:space="preserve">eed to </w:t>
      </w:r>
      <w:r w:rsidR="004F3871">
        <w:rPr>
          <w:rFonts w:ascii="Arial" w:hAnsi="Arial" w:cs="Arial"/>
          <w:i/>
          <w:lang w:val="en-GB"/>
        </w:rPr>
        <w:t>K</w:t>
      </w:r>
      <w:r w:rsidRPr="005D6BE9">
        <w:rPr>
          <w:rFonts w:ascii="Arial" w:hAnsi="Arial" w:cs="Arial"/>
          <w:i/>
          <w:lang w:val="en-GB"/>
        </w:rPr>
        <w:t>now</w:t>
      </w:r>
      <w:r w:rsidRPr="005D6BE9">
        <w:rPr>
          <w:rFonts w:ascii="Arial" w:hAnsi="Arial" w:cs="Arial"/>
          <w:lang w:val="en-GB"/>
        </w:rPr>
        <w:t xml:space="preserve">. London, UK. </w:t>
      </w:r>
    </w:p>
    <w:p w14:paraId="6DD9CEE1" w14:textId="77777777" w:rsidR="00BA248D" w:rsidRPr="005D6BE9" w:rsidRDefault="00BA248D" w:rsidP="005D6BE9">
      <w:pPr>
        <w:pStyle w:val="EndNoteBibliography"/>
        <w:spacing w:after="0" w:line="360" w:lineRule="auto"/>
        <w:jc w:val="both"/>
        <w:rPr>
          <w:rFonts w:ascii="Arial" w:hAnsi="Arial" w:cs="Arial"/>
          <w:lang w:val="en-GB"/>
        </w:rPr>
      </w:pPr>
    </w:p>
    <w:p w14:paraId="19AD9297" w14:textId="3B86C6A5"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Foucault, M. (1982). </w:t>
      </w:r>
      <w:r w:rsidR="005C30D7" w:rsidRPr="005D6BE9">
        <w:rPr>
          <w:rFonts w:ascii="Arial" w:hAnsi="Arial" w:cs="Arial"/>
          <w:lang w:val="en-GB"/>
        </w:rPr>
        <w:t>‘</w:t>
      </w:r>
      <w:r w:rsidRPr="005D6BE9">
        <w:rPr>
          <w:rFonts w:ascii="Arial" w:hAnsi="Arial" w:cs="Arial"/>
          <w:lang w:val="en-GB"/>
        </w:rPr>
        <w:t xml:space="preserve">The </w:t>
      </w:r>
      <w:r w:rsidR="004F3871">
        <w:rPr>
          <w:rFonts w:ascii="Arial" w:hAnsi="Arial" w:cs="Arial"/>
          <w:lang w:val="en-GB"/>
        </w:rPr>
        <w:t>S</w:t>
      </w:r>
      <w:r w:rsidRPr="005D6BE9">
        <w:rPr>
          <w:rFonts w:ascii="Arial" w:hAnsi="Arial" w:cs="Arial"/>
          <w:lang w:val="en-GB"/>
        </w:rPr>
        <w:t xml:space="preserve">ubject and </w:t>
      </w:r>
      <w:r w:rsidR="004F3871">
        <w:rPr>
          <w:rFonts w:ascii="Arial" w:hAnsi="Arial" w:cs="Arial"/>
          <w:lang w:val="en-GB"/>
        </w:rPr>
        <w:t>P</w:t>
      </w:r>
      <w:r w:rsidRPr="005D6BE9">
        <w:rPr>
          <w:rFonts w:ascii="Arial" w:hAnsi="Arial" w:cs="Arial"/>
          <w:lang w:val="en-GB"/>
        </w:rPr>
        <w:t>ower</w:t>
      </w:r>
      <w:r w:rsidR="005C30D7" w:rsidRPr="005D6BE9">
        <w:rPr>
          <w:rFonts w:ascii="Arial" w:hAnsi="Arial" w:cs="Arial"/>
          <w:lang w:val="en-GB"/>
        </w:rPr>
        <w:t>’</w:t>
      </w:r>
      <w:r w:rsidRPr="005D6BE9">
        <w:rPr>
          <w:rFonts w:ascii="Arial" w:hAnsi="Arial" w:cs="Arial"/>
          <w:lang w:val="en-GB"/>
        </w:rPr>
        <w:t xml:space="preserve">. </w:t>
      </w:r>
      <w:r w:rsidRPr="005D6BE9">
        <w:rPr>
          <w:rFonts w:ascii="Arial" w:hAnsi="Arial" w:cs="Arial"/>
          <w:i/>
          <w:lang w:val="en-GB"/>
        </w:rPr>
        <w:t xml:space="preserve">Critical inquiry, </w:t>
      </w:r>
      <w:r w:rsidRPr="005D6BE9">
        <w:rPr>
          <w:rFonts w:ascii="Arial" w:hAnsi="Arial" w:cs="Arial"/>
          <w:iCs/>
          <w:lang w:val="en-GB"/>
        </w:rPr>
        <w:t>8</w:t>
      </w:r>
      <w:r w:rsidRPr="005D6BE9">
        <w:rPr>
          <w:rFonts w:ascii="Arial" w:hAnsi="Arial" w:cs="Arial"/>
          <w:lang w:val="en-GB"/>
        </w:rPr>
        <w:t xml:space="preserve">(4), 777-795. </w:t>
      </w:r>
    </w:p>
    <w:p w14:paraId="2904ACF4" w14:textId="77777777" w:rsidR="00BA248D" w:rsidRPr="005D6BE9" w:rsidRDefault="00BA248D" w:rsidP="005D6BE9">
      <w:pPr>
        <w:pStyle w:val="EndNoteBibliography"/>
        <w:spacing w:after="0" w:line="360" w:lineRule="auto"/>
        <w:jc w:val="both"/>
        <w:rPr>
          <w:rFonts w:ascii="Arial" w:hAnsi="Arial" w:cs="Arial"/>
          <w:lang w:val="en-GB"/>
        </w:rPr>
      </w:pPr>
    </w:p>
    <w:p w14:paraId="32DD6F1E" w14:textId="16FF8F8E"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George, E., McNaughton, D., &amp; Tsourtos, G. (2017). </w:t>
      </w:r>
      <w:r w:rsidR="00066CD0" w:rsidRPr="005D6BE9">
        <w:rPr>
          <w:rFonts w:ascii="Arial" w:hAnsi="Arial" w:cs="Arial"/>
          <w:lang w:val="en-GB"/>
        </w:rPr>
        <w:t>‘</w:t>
      </w:r>
      <w:r w:rsidRPr="005D6BE9">
        <w:rPr>
          <w:rFonts w:ascii="Arial" w:hAnsi="Arial" w:cs="Arial"/>
          <w:lang w:val="en-GB"/>
        </w:rPr>
        <w:t xml:space="preserve">An </w:t>
      </w:r>
      <w:r w:rsidR="004F3871">
        <w:rPr>
          <w:rFonts w:ascii="Arial" w:hAnsi="Arial" w:cs="Arial"/>
          <w:lang w:val="en-GB"/>
        </w:rPr>
        <w:t>I</w:t>
      </w:r>
      <w:r w:rsidRPr="005D6BE9">
        <w:rPr>
          <w:rFonts w:ascii="Arial" w:hAnsi="Arial" w:cs="Arial"/>
          <w:lang w:val="en-GB"/>
        </w:rPr>
        <w:t xml:space="preserve">nterpretive </w:t>
      </w:r>
      <w:r w:rsidR="004F3871">
        <w:rPr>
          <w:rFonts w:ascii="Arial" w:hAnsi="Arial" w:cs="Arial"/>
          <w:lang w:val="en-GB"/>
        </w:rPr>
        <w:t>A</w:t>
      </w:r>
      <w:r w:rsidRPr="005D6BE9">
        <w:rPr>
          <w:rFonts w:ascii="Arial" w:hAnsi="Arial" w:cs="Arial"/>
          <w:lang w:val="en-GB"/>
        </w:rPr>
        <w:t xml:space="preserve">nalysis of Australia’s </w:t>
      </w:r>
      <w:r w:rsidR="004F3871">
        <w:rPr>
          <w:rFonts w:ascii="Arial" w:hAnsi="Arial" w:cs="Arial"/>
          <w:lang w:val="en-GB"/>
        </w:rPr>
        <w:t>A</w:t>
      </w:r>
      <w:r w:rsidRPr="005D6BE9">
        <w:rPr>
          <w:rFonts w:ascii="Arial" w:hAnsi="Arial" w:cs="Arial"/>
          <w:lang w:val="en-GB"/>
        </w:rPr>
        <w:t xml:space="preserve">pproach to </w:t>
      </w:r>
      <w:r w:rsidR="004F3871">
        <w:rPr>
          <w:rFonts w:ascii="Arial" w:hAnsi="Arial" w:cs="Arial"/>
          <w:lang w:val="en-GB"/>
        </w:rPr>
        <w:t>H</w:t>
      </w:r>
      <w:r w:rsidRPr="005D6BE9">
        <w:rPr>
          <w:rFonts w:ascii="Arial" w:hAnsi="Arial" w:cs="Arial"/>
          <w:lang w:val="en-GB"/>
        </w:rPr>
        <w:t xml:space="preserve">uman </w:t>
      </w:r>
      <w:r w:rsidR="004F3871">
        <w:rPr>
          <w:rFonts w:ascii="Arial" w:hAnsi="Arial" w:cs="Arial"/>
          <w:lang w:val="en-GB"/>
        </w:rPr>
        <w:t>T</w:t>
      </w:r>
      <w:r w:rsidRPr="005D6BE9">
        <w:rPr>
          <w:rFonts w:ascii="Arial" w:hAnsi="Arial" w:cs="Arial"/>
          <w:lang w:val="en-GB"/>
        </w:rPr>
        <w:t xml:space="preserve">rafficking and its </w:t>
      </w:r>
      <w:r w:rsidR="004F3871">
        <w:rPr>
          <w:rFonts w:ascii="Arial" w:hAnsi="Arial" w:cs="Arial"/>
          <w:lang w:val="en-GB"/>
        </w:rPr>
        <w:t>F</w:t>
      </w:r>
      <w:r w:rsidRPr="005D6BE9">
        <w:rPr>
          <w:rFonts w:ascii="Arial" w:hAnsi="Arial" w:cs="Arial"/>
          <w:lang w:val="en-GB"/>
        </w:rPr>
        <w:t xml:space="preserve">ocus on </w:t>
      </w:r>
      <w:r w:rsidR="004F3871">
        <w:rPr>
          <w:rFonts w:ascii="Arial" w:hAnsi="Arial" w:cs="Arial"/>
          <w:lang w:val="en-GB"/>
        </w:rPr>
        <w:t>C</w:t>
      </w:r>
      <w:r w:rsidRPr="005D6BE9">
        <w:rPr>
          <w:rFonts w:ascii="Arial" w:hAnsi="Arial" w:cs="Arial"/>
          <w:lang w:val="en-GB"/>
        </w:rPr>
        <w:t xml:space="preserve">riminal </w:t>
      </w:r>
      <w:r w:rsidR="004F3871">
        <w:rPr>
          <w:rFonts w:ascii="Arial" w:hAnsi="Arial" w:cs="Arial"/>
          <w:lang w:val="en-GB"/>
        </w:rPr>
        <w:t>J</w:t>
      </w:r>
      <w:r w:rsidRPr="005D6BE9">
        <w:rPr>
          <w:rFonts w:ascii="Arial" w:hAnsi="Arial" w:cs="Arial"/>
          <w:lang w:val="en-GB"/>
        </w:rPr>
        <w:t xml:space="preserve">ustice over </w:t>
      </w:r>
      <w:r w:rsidR="004F3871">
        <w:rPr>
          <w:rFonts w:ascii="Arial" w:hAnsi="Arial" w:cs="Arial"/>
          <w:lang w:val="en-GB"/>
        </w:rPr>
        <w:t>P</w:t>
      </w:r>
      <w:r w:rsidRPr="005D6BE9">
        <w:rPr>
          <w:rFonts w:ascii="Arial" w:hAnsi="Arial" w:cs="Arial"/>
          <w:lang w:val="en-GB"/>
        </w:rPr>
        <w:t xml:space="preserve">ublic </w:t>
      </w:r>
      <w:r w:rsidR="004F3871">
        <w:rPr>
          <w:rFonts w:ascii="Arial" w:hAnsi="Arial" w:cs="Arial"/>
          <w:lang w:val="en-GB"/>
        </w:rPr>
        <w:t>H</w:t>
      </w:r>
      <w:r w:rsidRPr="005D6BE9">
        <w:rPr>
          <w:rFonts w:ascii="Arial" w:hAnsi="Arial" w:cs="Arial"/>
          <w:lang w:val="en-GB"/>
        </w:rPr>
        <w:t>ealth</w:t>
      </w:r>
      <w:r w:rsidR="00066CD0" w:rsidRPr="005D6BE9">
        <w:rPr>
          <w:rFonts w:ascii="Arial" w:hAnsi="Arial" w:cs="Arial"/>
          <w:lang w:val="en-GB"/>
        </w:rPr>
        <w:t>’</w:t>
      </w:r>
      <w:r w:rsidRPr="005D6BE9">
        <w:rPr>
          <w:rFonts w:ascii="Arial" w:hAnsi="Arial" w:cs="Arial"/>
          <w:lang w:val="en-GB"/>
        </w:rPr>
        <w:t xml:space="preserve">. </w:t>
      </w:r>
      <w:r w:rsidRPr="005D6BE9">
        <w:rPr>
          <w:rFonts w:ascii="Arial" w:hAnsi="Arial" w:cs="Arial"/>
          <w:i/>
          <w:lang w:val="en-GB"/>
        </w:rPr>
        <w:t xml:space="preserve">Journal of Human Trafficking, </w:t>
      </w:r>
      <w:r w:rsidRPr="005D6BE9">
        <w:rPr>
          <w:rFonts w:ascii="Arial" w:hAnsi="Arial" w:cs="Arial"/>
          <w:iCs/>
          <w:lang w:val="en-GB"/>
        </w:rPr>
        <w:t>3</w:t>
      </w:r>
      <w:r w:rsidRPr="005D6BE9">
        <w:rPr>
          <w:rFonts w:ascii="Arial" w:hAnsi="Arial" w:cs="Arial"/>
          <w:lang w:val="en-GB"/>
        </w:rPr>
        <w:t xml:space="preserve">(2), 81-92. </w:t>
      </w:r>
    </w:p>
    <w:p w14:paraId="4DAC6BE6" w14:textId="77777777" w:rsidR="00BA248D" w:rsidRPr="005D6BE9" w:rsidRDefault="00BA248D" w:rsidP="005D6BE9">
      <w:pPr>
        <w:pStyle w:val="EndNoteBibliography"/>
        <w:spacing w:after="0" w:line="360" w:lineRule="auto"/>
        <w:jc w:val="both"/>
        <w:rPr>
          <w:rFonts w:ascii="Arial" w:hAnsi="Arial" w:cs="Arial"/>
          <w:lang w:val="en-GB"/>
        </w:rPr>
      </w:pPr>
    </w:p>
    <w:p w14:paraId="73FC9794" w14:textId="21064F7B"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Information and Research Services. (1999). </w:t>
      </w:r>
      <w:r w:rsidRPr="005D6BE9">
        <w:rPr>
          <w:rFonts w:ascii="Arial" w:hAnsi="Arial" w:cs="Arial"/>
          <w:i/>
          <w:lang w:val="en-GB"/>
        </w:rPr>
        <w:t>Criminal Code Amendment (Slavery and Sexual Servitude) Bill 1999</w:t>
      </w:r>
      <w:r w:rsidRPr="005D6BE9">
        <w:rPr>
          <w:rFonts w:ascii="Arial" w:hAnsi="Arial" w:cs="Arial"/>
          <w:lang w:val="en-GB"/>
        </w:rPr>
        <w:t xml:space="preserve">. </w:t>
      </w:r>
      <w:r w:rsidR="00066CD0" w:rsidRPr="005D6BE9">
        <w:rPr>
          <w:rFonts w:ascii="Arial" w:hAnsi="Arial" w:cs="Arial"/>
          <w:lang w:val="en-GB"/>
        </w:rPr>
        <w:t>Available:</w:t>
      </w:r>
      <w:r w:rsidRPr="005D6BE9">
        <w:rPr>
          <w:rFonts w:ascii="Arial" w:hAnsi="Arial" w:cs="Arial"/>
          <w:lang w:val="en-GB"/>
        </w:rPr>
        <w:t xml:space="preserve"> </w:t>
      </w:r>
      <w:r w:rsidR="00BA248D" w:rsidRPr="001552EB">
        <w:rPr>
          <w:rFonts w:ascii="Arial" w:hAnsi="Arial" w:cs="Arial"/>
          <w:lang w:val="en-GB"/>
        </w:rPr>
        <w:t>https://parlinfo.aph.gov.au/parlInfo/search/display/display.w3p;query=SubjectId_Phrase:6O2;rec=2</w:t>
      </w:r>
      <w:r w:rsidRPr="005D6BE9">
        <w:rPr>
          <w:rFonts w:ascii="Arial" w:hAnsi="Arial" w:cs="Arial"/>
          <w:lang w:val="en-GB"/>
        </w:rPr>
        <w:t>.</w:t>
      </w:r>
    </w:p>
    <w:p w14:paraId="1D63C7DC" w14:textId="77777777" w:rsidR="00BA248D" w:rsidRPr="005D6BE9" w:rsidRDefault="00BA248D" w:rsidP="005D6BE9">
      <w:pPr>
        <w:pStyle w:val="EndNoteBibliography"/>
        <w:spacing w:after="0" w:line="360" w:lineRule="auto"/>
        <w:jc w:val="both"/>
        <w:rPr>
          <w:rFonts w:ascii="Arial" w:hAnsi="Arial" w:cs="Arial"/>
          <w:lang w:val="en-GB"/>
        </w:rPr>
      </w:pPr>
    </w:p>
    <w:p w14:paraId="3C50061F" w14:textId="04454B3C"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Investigation and Liaison Section (ILS), Social Justice Coordination Section (SJCS), &amp; Department of immigration and Ethnic Affairs (DIEA). (1996). </w:t>
      </w:r>
      <w:r w:rsidRPr="005D6BE9">
        <w:rPr>
          <w:rFonts w:ascii="Arial" w:hAnsi="Arial" w:cs="Arial"/>
          <w:i/>
          <w:lang w:val="en-GB"/>
        </w:rPr>
        <w:t>Trafficking of Women into the Australian Sex Industry: A Discussion Paper</w:t>
      </w:r>
      <w:r w:rsidRPr="005D6BE9">
        <w:rPr>
          <w:rFonts w:ascii="Arial" w:hAnsi="Arial" w:cs="Arial"/>
          <w:lang w:val="en-GB"/>
        </w:rPr>
        <w:t xml:space="preserve">. Canberra, Australia. </w:t>
      </w:r>
    </w:p>
    <w:p w14:paraId="3E0AAC15" w14:textId="77777777" w:rsidR="00BA248D" w:rsidRPr="005D6BE9" w:rsidRDefault="00BA248D" w:rsidP="005D6BE9">
      <w:pPr>
        <w:pStyle w:val="EndNoteBibliography"/>
        <w:spacing w:after="0" w:line="360" w:lineRule="auto"/>
        <w:jc w:val="both"/>
        <w:rPr>
          <w:rFonts w:ascii="Arial" w:hAnsi="Arial" w:cs="Arial"/>
          <w:lang w:val="en-GB"/>
        </w:rPr>
      </w:pPr>
    </w:p>
    <w:p w14:paraId="6507A8C1" w14:textId="3646888C"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Joint Standing Committee on Foreign Affairs Defence and Trade (JFADT). (2017). </w:t>
      </w:r>
      <w:r w:rsidRPr="005D6BE9">
        <w:rPr>
          <w:rFonts w:ascii="Arial" w:hAnsi="Arial" w:cs="Arial"/>
          <w:i/>
          <w:lang w:val="en-GB"/>
        </w:rPr>
        <w:t xml:space="preserve">Hidden in Plain Sight: An </w:t>
      </w:r>
      <w:r w:rsidR="004F3871">
        <w:rPr>
          <w:rFonts w:ascii="Arial" w:hAnsi="Arial" w:cs="Arial"/>
          <w:i/>
          <w:lang w:val="en-GB"/>
        </w:rPr>
        <w:t>I</w:t>
      </w:r>
      <w:r w:rsidRPr="005D6BE9">
        <w:rPr>
          <w:rFonts w:ascii="Arial" w:hAnsi="Arial" w:cs="Arial"/>
          <w:i/>
          <w:lang w:val="en-GB"/>
        </w:rPr>
        <w:t xml:space="preserve">nquiry into </w:t>
      </w:r>
      <w:r w:rsidR="004F3871">
        <w:rPr>
          <w:rFonts w:ascii="Arial" w:hAnsi="Arial" w:cs="Arial"/>
          <w:i/>
          <w:lang w:val="en-GB"/>
        </w:rPr>
        <w:t>E</w:t>
      </w:r>
      <w:r w:rsidRPr="005D6BE9">
        <w:rPr>
          <w:rFonts w:ascii="Arial" w:hAnsi="Arial" w:cs="Arial"/>
          <w:i/>
          <w:lang w:val="en-GB"/>
        </w:rPr>
        <w:t>stablishing a Modern Slavery Act in Australia</w:t>
      </w:r>
      <w:r w:rsidRPr="005D6BE9">
        <w:rPr>
          <w:rFonts w:ascii="Arial" w:hAnsi="Arial" w:cs="Arial"/>
          <w:lang w:val="en-GB"/>
        </w:rPr>
        <w:t xml:space="preserve">. </w:t>
      </w:r>
      <w:r w:rsidR="00066CD0" w:rsidRPr="005D6BE9">
        <w:rPr>
          <w:rFonts w:ascii="Arial" w:hAnsi="Arial" w:cs="Arial"/>
          <w:lang w:val="en-GB"/>
        </w:rPr>
        <w:t>Available:</w:t>
      </w:r>
      <w:r w:rsidRPr="005D6BE9">
        <w:rPr>
          <w:rFonts w:ascii="Arial" w:hAnsi="Arial" w:cs="Arial"/>
          <w:lang w:val="en-GB"/>
        </w:rPr>
        <w:t xml:space="preserve"> </w:t>
      </w:r>
      <w:r w:rsidR="00BA248D" w:rsidRPr="001552EB">
        <w:rPr>
          <w:rFonts w:ascii="Arial" w:hAnsi="Arial" w:cs="Arial"/>
          <w:lang w:val="en-GB"/>
        </w:rPr>
        <w:t>https://parlinfo.aph.gov.au/parlInfo/download/committees/reportjnt/024102/toc_pdf/HiddeninPlainSight.pdf;fileType=application%2Fpdf</w:t>
      </w:r>
      <w:r w:rsidRPr="005D6BE9">
        <w:rPr>
          <w:rFonts w:ascii="Arial" w:hAnsi="Arial" w:cs="Arial"/>
          <w:lang w:val="en-GB"/>
        </w:rPr>
        <w:t>.</w:t>
      </w:r>
    </w:p>
    <w:p w14:paraId="38AA38D9" w14:textId="77777777" w:rsidR="00BA248D" w:rsidRPr="005D6BE9" w:rsidRDefault="00BA248D" w:rsidP="005D6BE9">
      <w:pPr>
        <w:pStyle w:val="EndNoteBibliography"/>
        <w:spacing w:after="0" w:line="360" w:lineRule="auto"/>
        <w:jc w:val="both"/>
        <w:rPr>
          <w:rFonts w:ascii="Arial" w:hAnsi="Arial" w:cs="Arial"/>
          <w:lang w:val="en-GB"/>
        </w:rPr>
      </w:pPr>
    </w:p>
    <w:p w14:paraId="71E1D79E" w14:textId="0513A6F7"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Joint Standing Committee on Foreign Affairs Defence Trade (JFADT). (2013). </w:t>
      </w:r>
      <w:r w:rsidRPr="005D6BE9">
        <w:rPr>
          <w:rFonts w:ascii="Arial" w:hAnsi="Arial" w:cs="Arial"/>
          <w:i/>
          <w:lang w:val="en-GB"/>
        </w:rPr>
        <w:t>Trading Lives: Modern Day Human Trafficking</w:t>
      </w:r>
      <w:r w:rsidRPr="005D6BE9">
        <w:rPr>
          <w:rFonts w:ascii="Arial" w:hAnsi="Arial" w:cs="Arial"/>
          <w:lang w:val="en-GB"/>
        </w:rPr>
        <w:t xml:space="preserve">. </w:t>
      </w:r>
      <w:r w:rsidR="00066CD0" w:rsidRPr="005D6BE9">
        <w:rPr>
          <w:rFonts w:ascii="Arial" w:hAnsi="Arial" w:cs="Arial"/>
          <w:lang w:val="en-GB"/>
        </w:rPr>
        <w:t xml:space="preserve">Available: </w:t>
      </w:r>
      <w:r w:rsidRPr="001552EB">
        <w:rPr>
          <w:rFonts w:ascii="Arial" w:hAnsi="Arial" w:cs="Arial"/>
          <w:lang w:val="en-GB"/>
        </w:rPr>
        <w:t>https://www.aph.gov.au/parliamentary_business/committees/house_of_representatives_committees?url=jfadt/slavery_people_trafficking/report.htm#chapters</w:t>
      </w:r>
      <w:r w:rsidRPr="005D6BE9">
        <w:rPr>
          <w:rFonts w:ascii="Arial" w:hAnsi="Arial" w:cs="Arial"/>
          <w:lang w:val="en-GB"/>
        </w:rPr>
        <w:t xml:space="preserve">. </w:t>
      </w:r>
    </w:p>
    <w:p w14:paraId="24F4DE44" w14:textId="77777777" w:rsidR="00BA248D" w:rsidRPr="005D6BE9" w:rsidRDefault="00BA248D" w:rsidP="005D6BE9">
      <w:pPr>
        <w:pStyle w:val="EndNoteBibliography"/>
        <w:spacing w:after="0" w:line="360" w:lineRule="auto"/>
        <w:jc w:val="both"/>
        <w:rPr>
          <w:rFonts w:ascii="Arial" w:hAnsi="Arial" w:cs="Arial"/>
          <w:lang w:val="en-GB"/>
        </w:rPr>
      </w:pPr>
    </w:p>
    <w:p w14:paraId="0019AAA2" w14:textId="679AE3A1"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Joint Standing Committee on Foreign Affairs Defence Trade (JFADT). (2017). </w:t>
      </w:r>
      <w:r w:rsidRPr="005D6BE9">
        <w:rPr>
          <w:rFonts w:ascii="Arial" w:hAnsi="Arial" w:cs="Arial"/>
          <w:i/>
          <w:lang w:val="en-GB"/>
        </w:rPr>
        <w:t>Terms of Reference.</w:t>
      </w:r>
      <w:r w:rsidRPr="005D6BE9">
        <w:rPr>
          <w:rFonts w:ascii="Arial" w:hAnsi="Arial" w:cs="Arial"/>
          <w:lang w:val="en-GB"/>
        </w:rPr>
        <w:t xml:space="preserve"> Retrieved June 20, 2019</w:t>
      </w:r>
      <w:r w:rsidR="00066CD0" w:rsidRPr="005D6BE9">
        <w:rPr>
          <w:rFonts w:ascii="Arial" w:hAnsi="Arial" w:cs="Arial"/>
          <w:lang w:val="en-GB"/>
        </w:rPr>
        <w:t>.</w:t>
      </w:r>
      <w:r w:rsidRPr="005D6BE9">
        <w:rPr>
          <w:rFonts w:ascii="Arial" w:hAnsi="Arial" w:cs="Arial"/>
          <w:lang w:val="en-GB"/>
        </w:rPr>
        <w:t xml:space="preserve"> </w:t>
      </w:r>
      <w:r w:rsidR="00066CD0" w:rsidRPr="005D6BE9">
        <w:rPr>
          <w:rFonts w:ascii="Arial" w:hAnsi="Arial" w:cs="Arial"/>
          <w:lang w:val="en-GB"/>
        </w:rPr>
        <w:t xml:space="preserve">Available: </w:t>
      </w:r>
      <w:r w:rsidRPr="001552EB">
        <w:rPr>
          <w:rFonts w:ascii="Arial" w:hAnsi="Arial" w:cs="Arial"/>
          <w:lang w:val="en-GB"/>
        </w:rPr>
        <w:t>www.aph.gov.au/Parliamentary_Business/Committees/Joint/Foreign_Affairs_Defence_and_Trade/ModernSlavery/Terms_of_Reference</w:t>
      </w:r>
      <w:r w:rsidRPr="005D6BE9">
        <w:rPr>
          <w:rFonts w:ascii="Arial" w:hAnsi="Arial" w:cs="Arial"/>
          <w:lang w:val="en-GB"/>
        </w:rPr>
        <w:t xml:space="preserve">. </w:t>
      </w:r>
    </w:p>
    <w:p w14:paraId="4944B746" w14:textId="77777777" w:rsidR="00BA248D" w:rsidRPr="005D6BE9" w:rsidRDefault="00BA248D" w:rsidP="005D6BE9">
      <w:pPr>
        <w:pStyle w:val="EndNoteBibliography"/>
        <w:spacing w:after="0" w:line="360" w:lineRule="auto"/>
        <w:jc w:val="both"/>
        <w:rPr>
          <w:rFonts w:ascii="Arial" w:hAnsi="Arial" w:cs="Arial"/>
          <w:lang w:val="en-GB"/>
        </w:rPr>
      </w:pPr>
    </w:p>
    <w:p w14:paraId="73B3C16B" w14:textId="3DC57E25"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Kapur, R. 2005. </w:t>
      </w:r>
      <w:r w:rsidR="00066CD0" w:rsidRPr="005D6BE9">
        <w:rPr>
          <w:rFonts w:ascii="Arial" w:hAnsi="Arial" w:cs="Arial"/>
          <w:lang w:val="en-GB"/>
        </w:rPr>
        <w:t>‘</w:t>
      </w:r>
      <w:r w:rsidRPr="005D6BE9">
        <w:rPr>
          <w:rFonts w:ascii="Arial" w:hAnsi="Arial" w:cs="Arial"/>
          <w:lang w:val="en-GB"/>
        </w:rPr>
        <w:t>Cross-border Movements and the Law: Renegotiating the Boundaries of Difference</w:t>
      </w:r>
      <w:r w:rsidR="00066CD0" w:rsidRPr="005D6BE9">
        <w:rPr>
          <w:rFonts w:ascii="Arial" w:hAnsi="Arial" w:cs="Arial"/>
          <w:lang w:val="en-GB"/>
        </w:rPr>
        <w:t>’</w:t>
      </w:r>
      <w:r w:rsidRPr="005D6BE9">
        <w:rPr>
          <w:rFonts w:ascii="Arial" w:hAnsi="Arial" w:cs="Arial"/>
          <w:lang w:val="en-GB"/>
        </w:rPr>
        <w:t xml:space="preserve">. In K Kempadoo, J Sanghera, and B Pattanaik (Ed.), </w:t>
      </w:r>
      <w:r w:rsidRPr="005D6BE9">
        <w:rPr>
          <w:rFonts w:ascii="Arial" w:hAnsi="Arial" w:cs="Arial"/>
          <w:i/>
          <w:iCs/>
          <w:lang w:val="en-GB"/>
        </w:rPr>
        <w:t>Trafficking and Prostitution Reconsidered: New Perspectives on Migration, Sex Work, and Human Rights</w:t>
      </w:r>
      <w:r w:rsidRPr="005D6BE9">
        <w:rPr>
          <w:rFonts w:ascii="Arial" w:hAnsi="Arial" w:cs="Arial"/>
          <w:lang w:val="en-GB"/>
        </w:rPr>
        <w:t xml:space="preserve"> (pp 25-41). </w:t>
      </w:r>
      <w:r w:rsidR="00066CD0" w:rsidRPr="005D6BE9">
        <w:rPr>
          <w:rFonts w:ascii="Arial" w:hAnsi="Arial" w:cs="Arial"/>
          <w:lang w:val="en-GB"/>
        </w:rPr>
        <w:t xml:space="preserve">Paradigm Publishers,  </w:t>
      </w:r>
      <w:r w:rsidRPr="005D6BE9">
        <w:rPr>
          <w:rFonts w:ascii="Arial" w:hAnsi="Arial" w:cs="Arial"/>
          <w:lang w:val="en-GB"/>
        </w:rPr>
        <w:t xml:space="preserve">London, UK. </w:t>
      </w:r>
    </w:p>
    <w:p w14:paraId="37591268" w14:textId="77777777" w:rsidR="00BA248D" w:rsidRPr="005D6BE9" w:rsidRDefault="00BA248D" w:rsidP="005D6BE9">
      <w:pPr>
        <w:pStyle w:val="EndNoteBibliography"/>
        <w:spacing w:after="0" w:line="360" w:lineRule="auto"/>
        <w:jc w:val="both"/>
        <w:rPr>
          <w:rFonts w:ascii="Arial" w:hAnsi="Arial" w:cs="Arial"/>
          <w:lang w:val="en-GB"/>
        </w:rPr>
      </w:pPr>
    </w:p>
    <w:p w14:paraId="52102B65" w14:textId="3BFCCF27"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Legal and Constitutional Affairs Legislation Committee (LCALC). (2012). </w:t>
      </w:r>
      <w:r w:rsidRPr="005D6BE9">
        <w:rPr>
          <w:rFonts w:ascii="Arial" w:hAnsi="Arial" w:cs="Arial"/>
          <w:i/>
          <w:lang w:val="en-GB"/>
        </w:rPr>
        <w:t xml:space="preserve">Crimes Legislation Amendment (Slavery, Slavery-like Conditions and People Trafficking) Bill 2012 (Provisions) Report. </w:t>
      </w:r>
      <w:r w:rsidR="00066CD0" w:rsidRPr="005D6BE9">
        <w:rPr>
          <w:rFonts w:ascii="Arial" w:hAnsi="Arial" w:cs="Arial"/>
          <w:lang w:val="en-GB"/>
        </w:rPr>
        <w:t>Available:</w:t>
      </w:r>
      <w:r w:rsidRPr="005D6BE9">
        <w:rPr>
          <w:rFonts w:ascii="Arial" w:hAnsi="Arial" w:cs="Arial"/>
          <w:lang w:val="en-GB"/>
        </w:rPr>
        <w:t xml:space="preserve"> </w:t>
      </w:r>
      <w:r w:rsidRPr="001552EB">
        <w:rPr>
          <w:rFonts w:ascii="Arial" w:hAnsi="Arial" w:cs="Arial"/>
          <w:lang w:val="en-GB"/>
        </w:rPr>
        <w:t>http://www.aph.gov.au/Parliamentary_Business/Committees/Senate/Legal_and_Constitutional_Affairs/Completed_inquiries/2010-13</w:t>
      </w:r>
      <w:r w:rsidRPr="005D6BE9">
        <w:rPr>
          <w:rFonts w:ascii="Arial" w:hAnsi="Arial" w:cs="Arial"/>
          <w:lang w:val="en-GB"/>
        </w:rPr>
        <w:t xml:space="preserve">. </w:t>
      </w:r>
    </w:p>
    <w:p w14:paraId="52EF91A3" w14:textId="77777777" w:rsidR="00BA248D" w:rsidRPr="005D6BE9" w:rsidRDefault="00BA248D" w:rsidP="005D6BE9">
      <w:pPr>
        <w:pStyle w:val="EndNoteBibliography"/>
        <w:spacing w:after="0" w:line="360" w:lineRule="auto"/>
        <w:jc w:val="both"/>
        <w:rPr>
          <w:rFonts w:ascii="Arial" w:hAnsi="Arial" w:cs="Arial"/>
          <w:lang w:val="en-GB"/>
        </w:rPr>
      </w:pPr>
    </w:p>
    <w:p w14:paraId="515D9D2E" w14:textId="41C2FFD0"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McGarry, K., &amp; FitzGerald, S. A. (2019). </w:t>
      </w:r>
      <w:r w:rsidR="00066CD0" w:rsidRPr="005D6BE9">
        <w:rPr>
          <w:rFonts w:ascii="Arial" w:hAnsi="Arial" w:cs="Arial"/>
          <w:lang w:val="en-GB"/>
        </w:rPr>
        <w:t>‘</w:t>
      </w:r>
      <w:r w:rsidRPr="005D6BE9">
        <w:rPr>
          <w:rFonts w:ascii="Arial" w:hAnsi="Arial" w:cs="Arial"/>
          <w:lang w:val="en-GB"/>
        </w:rPr>
        <w:t xml:space="preserve">The </w:t>
      </w:r>
      <w:r w:rsidR="004F3871">
        <w:rPr>
          <w:rFonts w:ascii="Arial" w:hAnsi="Arial" w:cs="Arial"/>
          <w:lang w:val="en-GB"/>
        </w:rPr>
        <w:t>P</w:t>
      </w:r>
      <w:r w:rsidRPr="005D6BE9">
        <w:rPr>
          <w:rFonts w:ascii="Arial" w:hAnsi="Arial" w:cs="Arial"/>
          <w:lang w:val="en-GB"/>
        </w:rPr>
        <w:t xml:space="preserve">olitics of </w:t>
      </w:r>
      <w:r w:rsidR="004F3871">
        <w:rPr>
          <w:rFonts w:ascii="Arial" w:hAnsi="Arial" w:cs="Arial"/>
          <w:lang w:val="en-GB"/>
        </w:rPr>
        <w:t>I</w:t>
      </w:r>
      <w:r w:rsidRPr="005D6BE9">
        <w:rPr>
          <w:rFonts w:ascii="Arial" w:hAnsi="Arial" w:cs="Arial"/>
          <w:lang w:val="en-GB"/>
        </w:rPr>
        <w:t xml:space="preserve">njustice: Sex-working </w:t>
      </w:r>
      <w:r w:rsidR="004F3871">
        <w:rPr>
          <w:rFonts w:ascii="Arial" w:hAnsi="Arial" w:cs="Arial"/>
          <w:lang w:val="en-GB"/>
        </w:rPr>
        <w:t>W</w:t>
      </w:r>
      <w:r w:rsidRPr="005D6BE9">
        <w:rPr>
          <w:rFonts w:ascii="Arial" w:hAnsi="Arial" w:cs="Arial"/>
          <w:lang w:val="en-GB"/>
        </w:rPr>
        <w:t xml:space="preserve">omen, </w:t>
      </w:r>
      <w:r w:rsidR="004F3871">
        <w:rPr>
          <w:rFonts w:ascii="Arial" w:hAnsi="Arial" w:cs="Arial"/>
          <w:lang w:val="en-GB"/>
        </w:rPr>
        <w:t>F</w:t>
      </w:r>
      <w:r w:rsidRPr="005D6BE9">
        <w:rPr>
          <w:rFonts w:ascii="Arial" w:hAnsi="Arial" w:cs="Arial"/>
          <w:lang w:val="en-GB"/>
        </w:rPr>
        <w:t xml:space="preserve">eminism and </w:t>
      </w:r>
      <w:r w:rsidR="004F3871">
        <w:rPr>
          <w:rFonts w:ascii="Arial" w:hAnsi="Arial" w:cs="Arial"/>
          <w:lang w:val="en-GB"/>
        </w:rPr>
        <w:t>C</w:t>
      </w:r>
      <w:r w:rsidRPr="005D6BE9">
        <w:rPr>
          <w:rFonts w:ascii="Arial" w:hAnsi="Arial" w:cs="Arial"/>
          <w:lang w:val="en-GB"/>
        </w:rPr>
        <w:t xml:space="preserve">riminalizing </w:t>
      </w:r>
      <w:r w:rsidR="004F3871">
        <w:rPr>
          <w:rFonts w:ascii="Arial" w:hAnsi="Arial" w:cs="Arial"/>
          <w:lang w:val="en-GB"/>
        </w:rPr>
        <w:t>S</w:t>
      </w:r>
      <w:r w:rsidRPr="005D6BE9">
        <w:rPr>
          <w:rFonts w:ascii="Arial" w:hAnsi="Arial" w:cs="Arial"/>
          <w:lang w:val="en-GB"/>
        </w:rPr>
        <w:t xml:space="preserve">ex </w:t>
      </w:r>
      <w:r w:rsidR="004F3871">
        <w:rPr>
          <w:rFonts w:ascii="Arial" w:hAnsi="Arial" w:cs="Arial"/>
          <w:lang w:val="en-GB"/>
        </w:rPr>
        <w:t>P</w:t>
      </w:r>
      <w:r w:rsidRPr="005D6BE9">
        <w:rPr>
          <w:rFonts w:ascii="Arial" w:hAnsi="Arial" w:cs="Arial"/>
          <w:lang w:val="en-GB"/>
        </w:rPr>
        <w:t>urchase in Ireland</w:t>
      </w:r>
      <w:r w:rsidR="00066CD0" w:rsidRPr="005D6BE9">
        <w:rPr>
          <w:rFonts w:ascii="Arial" w:hAnsi="Arial" w:cs="Arial"/>
          <w:lang w:val="en-GB"/>
        </w:rPr>
        <w:t>’</w:t>
      </w:r>
      <w:r w:rsidRPr="005D6BE9">
        <w:rPr>
          <w:rFonts w:ascii="Arial" w:hAnsi="Arial" w:cs="Arial"/>
          <w:lang w:val="en-GB"/>
        </w:rPr>
        <w:t xml:space="preserve">. </w:t>
      </w:r>
      <w:r w:rsidRPr="005D6BE9">
        <w:rPr>
          <w:rFonts w:ascii="Arial" w:hAnsi="Arial" w:cs="Arial"/>
          <w:i/>
          <w:lang w:val="en-GB"/>
        </w:rPr>
        <w:t xml:space="preserve">Criminology &amp; Criminal Justice, </w:t>
      </w:r>
      <w:r w:rsidRPr="005D6BE9">
        <w:rPr>
          <w:rFonts w:ascii="Arial" w:hAnsi="Arial" w:cs="Arial"/>
          <w:iCs/>
          <w:lang w:val="en-GB"/>
        </w:rPr>
        <w:t>19</w:t>
      </w:r>
      <w:r w:rsidRPr="005D6BE9">
        <w:rPr>
          <w:rFonts w:ascii="Arial" w:hAnsi="Arial" w:cs="Arial"/>
          <w:lang w:val="en-GB"/>
        </w:rPr>
        <w:t xml:space="preserve">(1), 62-79. </w:t>
      </w:r>
    </w:p>
    <w:p w14:paraId="2F3D613D" w14:textId="77777777" w:rsidR="00BA248D" w:rsidRPr="005D6BE9" w:rsidRDefault="00BA248D" w:rsidP="005D6BE9">
      <w:pPr>
        <w:pStyle w:val="EndNoteBibliography"/>
        <w:spacing w:after="0" w:line="360" w:lineRule="auto"/>
        <w:jc w:val="both"/>
        <w:rPr>
          <w:rFonts w:ascii="Arial" w:hAnsi="Arial" w:cs="Arial"/>
          <w:lang w:val="en-GB"/>
        </w:rPr>
      </w:pPr>
    </w:p>
    <w:p w14:paraId="0F63BF3C" w14:textId="65F0AA5E"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Model Criminal Code Officers Committee. (1998). </w:t>
      </w:r>
      <w:r w:rsidRPr="005D6BE9">
        <w:rPr>
          <w:rFonts w:ascii="Arial" w:hAnsi="Arial" w:cs="Arial"/>
          <w:i/>
          <w:lang w:val="en-GB"/>
        </w:rPr>
        <w:t xml:space="preserve">Offences </w:t>
      </w:r>
      <w:r w:rsidR="004F3871">
        <w:rPr>
          <w:rFonts w:ascii="Arial" w:hAnsi="Arial" w:cs="Arial"/>
          <w:i/>
          <w:lang w:val="en-GB"/>
        </w:rPr>
        <w:t>A</w:t>
      </w:r>
      <w:r w:rsidRPr="005D6BE9">
        <w:rPr>
          <w:rFonts w:ascii="Arial" w:hAnsi="Arial" w:cs="Arial"/>
          <w:i/>
          <w:lang w:val="en-GB"/>
        </w:rPr>
        <w:t xml:space="preserve">gainst </w:t>
      </w:r>
      <w:r w:rsidR="004F3871">
        <w:rPr>
          <w:rFonts w:ascii="Arial" w:hAnsi="Arial" w:cs="Arial"/>
          <w:i/>
          <w:lang w:val="en-GB"/>
        </w:rPr>
        <w:t>H</w:t>
      </w:r>
      <w:r w:rsidRPr="005D6BE9">
        <w:rPr>
          <w:rFonts w:ascii="Arial" w:hAnsi="Arial" w:cs="Arial"/>
          <w:i/>
          <w:lang w:val="en-GB"/>
        </w:rPr>
        <w:t xml:space="preserve">umanity: </w:t>
      </w:r>
      <w:r w:rsidR="004F3871">
        <w:rPr>
          <w:rFonts w:ascii="Arial" w:hAnsi="Arial" w:cs="Arial"/>
          <w:i/>
          <w:lang w:val="en-GB"/>
        </w:rPr>
        <w:t>S</w:t>
      </w:r>
      <w:r w:rsidRPr="005D6BE9">
        <w:rPr>
          <w:rFonts w:ascii="Arial" w:hAnsi="Arial" w:cs="Arial"/>
          <w:i/>
          <w:lang w:val="en-GB"/>
        </w:rPr>
        <w:t>lavery</w:t>
      </w:r>
      <w:r w:rsidRPr="005D6BE9">
        <w:rPr>
          <w:rFonts w:ascii="Arial" w:hAnsi="Arial" w:cs="Arial"/>
          <w:lang w:val="en-GB"/>
        </w:rPr>
        <w:t xml:space="preserve">. Canberra, Commonwealth of Australia. </w:t>
      </w:r>
    </w:p>
    <w:p w14:paraId="59622D1B" w14:textId="77777777" w:rsidR="00BA248D" w:rsidRPr="005D6BE9" w:rsidRDefault="00BA248D" w:rsidP="005D6BE9">
      <w:pPr>
        <w:pStyle w:val="EndNoteBibliography"/>
        <w:spacing w:after="0" w:line="360" w:lineRule="auto"/>
        <w:jc w:val="both"/>
        <w:rPr>
          <w:rFonts w:ascii="Arial" w:hAnsi="Arial" w:cs="Arial"/>
          <w:lang w:val="en-GB"/>
        </w:rPr>
      </w:pPr>
    </w:p>
    <w:p w14:paraId="682A69B7" w14:textId="4200B72D"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NSW Parliamentary Library Research Service. (2003). </w:t>
      </w:r>
      <w:r w:rsidRPr="005D6BE9">
        <w:rPr>
          <w:rFonts w:ascii="Arial" w:hAnsi="Arial" w:cs="Arial"/>
          <w:i/>
          <w:lang w:val="en-GB"/>
        </w:rPr>
        <w:t>The Control of Prostitution: An Update</w:t>
      </w:r>
      <w:r w:rsidRPr="005D6BE9">
        <w:rPr>
          <w:rFonts w:ascii="Arial" w:hAnsi="Arial" w:cs="Arial"/>
          <w:lang w:val="en-GB"/>
        </w:rPr>
        <w:t xml:space="preserve">. </w:t>
      </w:r>
      <w:r w:rsidR="00081341" w:rsidRPr="005D6BE9">
        <w:rPr>
          <w:rFonts w:ascii="Arial" w:hAnsi="Arial" w:cs="Arial"/>
          <w:lang w:val="en-GB"/>
        </w:rPr>
        <w:t>Available:</w:t>
      </w:r>
      <w:r w:rsidRPr="005D6BE9">
        <w:rPr>
          <w:rFonts w:ascii="Arial" w:hAnsi="Arial" w:cs="Arial"/>
          <w:lang w:val="en-GB"/>
        </w:rPr>
        <w:t xml:space="preserve"> </w:t>
      </w:r>
      <w:r w:rsidRPr="001552EB">
        <w:rPr>
          <w:rFonts w:ascii="Arial" w:hAnsi="Arial" w:cs="Arial"/>
          <w:lang w:val="en-GB"/>
        </w:rPr>
        <w:t>https://www.parliament.nsw.gov.au/researchpapers/Documents/the-control-of-prostitution-an-update/14-03.pdf</w:t>
      </w:r>
      <w:r w:rsidRPr="005D6BE9">
        <w:rPr>
          <w:rFonts w:ascii="Arial" w:hAnsi="Arial" w:cs="Arial"/>
          <w:lang w:val="en-GB"/>
        </w:rPr>
        <w:t xml:space="preserve">. </w:t>
      </w:r>
    </w:p>
    <w:p w14:paraId="31C2B361" w14:textId="77777777" w:rsidR="00BA248D" w:rsidRPr="005D6BE9" w:rsidRDefault="00BA248D" w:rsidP="005D6BE9">
      <w:pPr>
        <w:pStyle w:val="EndNoteBibliography"/>
        <w:spacing w:after="0" w:line="360" w:lineRule="auto"/>
        <w:jc w:val="both"/>
        <w:rPr>
          <w:rFonts w:ascii="Arial" w:hAnsi="Arial" w:cs="Arial"/>
          <w:lang w:val="en-GB"/>
        </w:rPr>
      </w:pPr>
    </w:p>
    <w:p w14:paraId="3E2682D9" w14:textId="77DBA2C6"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O’Brien, E. (2016). </w:t>
      </w:r>
      <w:r w:rsidR="00081341" w:rsidRPr="005D6BE9">
        <w:rPr>
          <w:rFonts w:ascii="Arial" w:hAnsi="Arial" w:cs="Arial"/>
          <w:lang w:val="en-GB"/>
        </w:rPr>
        <w:t>‘</w:t>
      </w:r>
      <w:r w:rsidRPr="005D6BE9">
        <w:rPr>
          <w:rFonts w:ascii="Arial" w:hAnsi="Arial" w:cs="Arial"/>
          <w:lang w:val="en-GB"/>
        </w:rPr>
        <w:t xml:space="preserve">Human </w:t>
      </w:r>
      <w:r w:rsidR="004F3871">
        <w:rPr>
          <w:rFonts w:ascii="Arial" w:hAnsi="Arial" w:cs="Arial"/>
          <w:lang w:val="en-GB"/>
        </w:rPr>
        <w:t>T</w:t>
      </w:r>
      <w:r w:rsidRPr="005D6BE9">
        <w:rPr>
          <w:rFonts w:ascii="Arial" w:hAnsi="Arial" w:cs="Arial"/>
          <w:lang w:val="en-GB"/>
        </w:rPr>
        <w:t xml:space="preserve">rafficking </w:t>
      </w:r>
      <w:r w:rsidR="004F3871">
        <w:rPr>
          <w:rFonts w:ascii="Arial" w:hAnsi="Arial" w:cs="Arial"/>
          <w:lang w:val="en-GB"/>
        </w:rPr>
        <w:t>H</w:t>
      </w:r>
      <w:r w:rsidRPr="005D6BE9">
        <w:rPr>
          <w:rFonts w:ascii="Arial" w:hAnsi="Arial" w:cs="Arial"/>
          <w:lang w:val="en-GB"/>
        </w:rPr>
        <w:t xml:space="preserve">eroes and </w:t>
      </w:r>
      <w:r w:rsidR="004F3871">
        <w:rPr>
          <w:rFonts w:ascii="Arial" w:hAnsi="Arial" w:cs="Arial"/>
          <w:lang w:val="en-GB"/>
        </w:rPr>
        <w:t>V</w:t>
      </w:r>
      <w:r w:rsidRPr="005D6BE9">
        <w:rPr>
          <w:rFonts w:ascii="Arial" w:hAnsi="Arial" w:cs="Arial"/>
          <w:lang w:val="en-GB"/>
        </w:rPr>
        <w:t xml:space="preserve">illains: Representing the </w:t>
      </w:r>
      <w:r w:rsidR="004F3871">
        <w:rPr>
          <w:rFonts w:ascii="Arial" w:hAnsi="Arial" w:cs="Arial"/>
          <w:lang w:val="en-GB"/>
        </w:rPr>
        <w:t>P</w:t>
      </w:r>
      <w:r w:rsidRPr="005D6BE9">
        <w:rPr>
          <w:rFonts w:ascii="Arial" w:hAnsi="Arial" w:cs="Arial"/>
          <w:lang w:val="en-GB"/>
        </w:rPr>
        <w:t xml:space="preserve">roblem in </w:t>
      </w:r>
      <w:r w:rsidR="004F3871">
        <w:rPr>
          <w:rFonts w:ascii="Arial" w:hAnsi="Arial" w:cs="Arial"/>
          <w:lang w:val="en-GB"/>
        </w:rPr>
        <w:t>A</w:t>
      </w:r>
      <w:r w:rsidRPr="005D6BE9">
        <w:rPr>
          <w:rFonts w:ascii="Arial" w:hAnsi="Arial" w:cs="Arial"/>
          <w:lang w:val="en-GB"/>
        </w:rPr>
        <w:t>nti-</w:t>
      </w:r>
      <w:r w:rsidR="004F3871">
        <w:rPr>
          <w:rFonts w:ascii="Arial" w:hAnsi="Arial" w:cs="Arial"/>
          <w:lang w:val="en-GB"/>
        </w:rPr>
        <w:t>T</w:t>
      </w:r>
      <w:r w:rsidRPr="005D6BE9">
        <w:rPr>
          <w:rFonts w:ascii="Arial" w:hAnsi="Arial" w:cs="Arial"/>
          <w:lang w:val="en-GB"/>
        </w:rPr>
        <w:t xml:space="preserve">rafficking </w:t>
      </w:r>
      <w:r w:rsidR="004F3871">
        <w:rPr>
          <w:rFonts w:ascii="Arial" w:hAnsi="Arial" w:cs="Arial"/>
          <w:lang w:val="en-GB"/>
        </w:rPr>
        <w:t>A</w:t>
      </w:r>
      <w:r w:rsidRPr="005D6BE9">
        <w:rPr>
          <w:rFonts w:ascii="Arial" w:hAnsi="Arial" w:cs="Arial"/>
          <w:lang w:val="en-GB"/>
        </w:rPr>
        <w:t xml:space="preserve">wareness </w:t>
      </w:r>
      <w:r w:rsidR="004F3871">
        <w:rPr>
          <w:rFonts w:ascii="Arial" w:hAnsi="Arial" w:cs="Arial"/>
          <w:lang w:val="en-GB"/>
        </w:rPr>
        <w:t>C</w:t>
      </w:r>
      <w:r w:rsidRPr="005D6BE9">
        <w:rPr>
          <w:rFonts w:ascii="Arial" w:hAnsi="Arial" w:cs="Arial"/>
          <w:lang w:val="en-GB"/>
        </w:rPr>
        <w:t>ampaigns</w:t>
      </w:r>
      <w:r w:rsidR="00081341" w:rsidRPr="005D6BE9">
        <w:rPr>
          <w:rFonts w:ascii="Arial" w:hAnsi="Arial" w:cs="Arial"/>
          <w:lang w:val="en-GB"/>
        </w:rPr>
        <w:t>’</w:t>
      </w:r>
      <w:r w:rsidRPr="005D6BE9">
        <w:rPr>
          <w:rFonts w:ascii="Arial" w:hAnsi="Arial" w:cs="Arial"/>
          <w:lang w:val="en-GB"/>
        </w:rPr>
        <w:t xml:space="preserve">. </w:t>
      </w:r>
      <w:r w:rsidRPr="005D6BE9">
        <w:rPr>
          <w:rFonts w:ascii="Arial" w:hAnsi="Arial" w:cs="Arial"/>
          <w:i/>
          <w:lang w:val="en-GB"/>
        </w:rPr>
        <w:t xml:space="preserve">Social &amp; Legal Studies, </w:t>
      </w:r>
      <w:r w:rsidRPr="005D6BE9">
        <w:rPr>
          <w:rFonts w:ascii="Arial" w:hAnsi="Arial" w:cs="Arial"/>
          <w:iCs/>
          <w:lang w:val="en-GB"/>
        </w:rPr>
        <w:t>25</w:t>
      </w:r>
      <w:r w:rsidRPr="005D6BE9">
        <w:rPr>
          <w:rFonts w:ascii="Arial" w:hAnsi="Arial" w:cs="Arial"/>
          <w:lang w:val="en-GB"/>
        </w:rPr>
        <w:t xml:space="preserve">(2), 205-224. </w:t>
      </w:r>
    </w:p>
    <w:p w14:paraId="5F5BCE39" w14:textId="77777777" w:rsidR="00BA248D" w:rsidRPr="005D6BE9" w:rsidRDefault="00BA248D" w:rsidP="005D6BE9">
      <w:pPr>
        <w:pStyle w:val="EndNoteBibliography"/>
        <w:spacing w:after="0" w:line="360" w:lineRule="auto"/>
        <w:jc w:val="both"/>
        <w:rPr>
          <w:rFonts w:ascii="Arial" w:hAnsi="Arial" w:cs="Arial"/>
          <w:lang w:val="en-GB"/>
        </w:rPr>
      </w:pPr>
    </w:p>
    <w:p w14:paraId="600D4278" w14:textId="58E16D88" w:rsidR="005C30D7" w:rsidRPr="005D6BE9" w:rsidRDefault="005C30D7"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O’ Connell Davidson, J.. (2006). ‘Will the </w:t>
      </w:r>
      <w:r w:rsidR="004F3871">
        <w:rPr>
          <w:rFonts w:ascii="Arial" w:hAnsi="Arial" w:cs="Arial"/>
          <w:lang w:val="en-GB"/>
        </w:rPr>
        <w:t>R</w:t>
      </w:r>
      <w:r w:rsidRPr="005D6BE9">
        <w:rPr>
          <w:rFonts w:ascii="Arial" w:hAnsi="Arial" w:cs="Arial"/>
          <w:lang w:val="en-GB"/>
        </w:rPr>
        <w:t xml:space="preserve">eal </w:t>
      </w:r>
      <w:r w:rsidR="004F3871">
        <w:rPr>
          <w:rFonts w:ascii="Arial" w:hAnsi="Arial" w:cs="Arial"/>
          <w:lang w:val="en-GB"/>
        </w:rPr>
        <w:t>S</w:t>
      </w:r>
      <w:r w:rsidRPr="005D6BE9">
        <w:rPr>
          <w:rFonts w:ascii="Arial" w:hAnsi="Arial" w:cs="Arial"/>
          <w:lang w:val="en-GB"/>
        </w:rPr>
        <w:t xml:space="preserve">ex </w:t>
      </w:r>
      <w:r w:rsidR="004F3871">
        <w:rPr>
          <w:rFonts w:ascii="Arial" w:hAnsi="Arial" w:cs="Arial"/>
          <w:lang w:val="en-GB"/>
        </w:rPr>
        <w:t>S</w:t>
      </w:r>
      <w:r w:rsidRPr="005D6BE9">
        <w:rPr>
          <w:rFonts w:ascii="Arial" w:hAnsi="Arial" w:cs="Arial"/>
          <w:lang w:val="en-GB"/>
        </w:rPr>
        <w:t xml:space="preserve">lave </w:t>
      </w:r>
      <w:r w:rsidR="004F3871">
        <w:rPr>
          <w:rFonts w:ascii="Arial" w:hAnsi="Arial" w:cs="Arial"/>
          <w:lang w:val="en-GB"/>
        </w:rPr>
        <w:t>P</w:t>
      </w:r>
      <w:r w:rsidRPr="005D6BE9">
        <w:rPr>
          <w:rFonts w:ascii="Arial" w:hAnsi="Arial" w:cs="Arial"/>
          <w:lang w:val="en-GB"/>
        </w:rPr>
        <w:t xml:space="preserve">lease </w:t>
      </w:r>
      <w:r w:rsidR="004F3871">
        <w:rPr>
          <w:rFonts w:ascii="Arial" w:hAnsi="Arial" w:cs="Arial"/>
          <w:lang w:val="en-GB"/>
        </w:rPr>
        <w:t>S</w:t>
      </w:r>
      <w:r w:rsidRPr="005D6BE9">
        <w:rPr>
          <w:rFonts w:ascii="Arial" w:hAnsi="Arial" w:cs="Arial"/>
          <w:lang w:val="en-GB"/>
        </w:rPr>
        <w:t xml:space="preserve">tand </w:t>
      </w:r>
      <w:r w:rsidR="004F3871">
        <w:rPr>
          <w:rFonts w:ascii="Arial" w:hAnsi="Arial" w:cs="Arial"/>
          <w:lang w:val="en-GB"/>
        </w:rPr>
        <w:t>U</w:t>
      </w:r>
      <w:r w:rsidRPr="005D6BE9">
        <w:rPr>
          <w:rFonts w:ascii="Arial" w:hAnsi="Arial" w:cs="Arial"/>
          <w:lang w:val="en-GB"/>
        </w:rPr>
        <w:t>p?’. </w:t>
      </w:r>
      <w:r w:rsidRPr="005D6BE9">
        <w:rPr>
          <w:rFonts w:ascii="Arial" w:hAnsi="Arial" w:cs="Arial"/>
          <w:i/>
          <w:iCs/>
          <w:lang w:val="en-GB"/>
        </w:rPr>
        <w:t>Feminist Review</w:t>
      </w:r>
      <w:r w:rsidRPr="005D6BE9">
        <w:rPr>
          <w:rFonts w:ascii="Arial" w:hAnsi="Arial" w:cs="Arial"/>
          <w:lang w:val="en-GB"/>
        </w:rPr>
        <w:t>, 83(1), 4-22.</w:t>
      </w:r>
    </w:p>
    <w:p w14:paraId="2DE2F485" w14:textId="77777777" w:rsidR="005C30D7" w:rsidRPr="005D6BE9" w:rsidRDefault="005C30D7" w:rsidP="005D6BE9">
      <w:pPr>
        <w:pStyle w:val="EndNoteBibliography"/>
        <w:spacing w:after="0" w:line="360" w:lineRule="auto"/>
        <w:jc w:val="both"/>
        <w:rPr>
          <w:rFonts w:ascii="Arial" w:hAnsi="Arial" w:cs="Arial"/>
          <w:lang w:val="en-GB"/>
        </w:rPr>
      </w:pPr>
    </w:p>
    <w:p w14:paraId="66769D51" w14:textId="0BCD13F9"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Office for Women in the Department of Prime Minister and Cabinet. (2019). </w:t>
      </w:r>
      <w:r w:rsidRPr="005D6BE9">
        <w:rPr>
          <w:rFonts w:ascii="Arial" w:hAnsi="Arial" w:cs="Arial"/>
          <w:i/>
          <w:lang w:val="en-GB"/>
        </w:rPr>
        <w:t>Australian submission to the  Committee on the Elimination of Discrimination Against Women on draft General Recommendation on Trafficking in Women and Girls in the Context of Global Migration</w:t>
      </w:r>
      <w:r w:rsidRPr="005D6BE9">
        <w:rPr>
          <w:rFonts w:ascii="Arial" w:hAnsi="Arial" w:cs="Arial"/>
          <w:lang w:val="en-GB"/>
        </w:rPr>
        <w:t xml:space="preserve">.  </w:t>
      </w:r>
      <w:r w:rsidR="00081341" w:rsidRPr="005D6BE9">
        <w:rPr>
          <w:rFonts w:ascii="Arial" w:hAnsi="Arial" w:cs="Arial"/>
          <w:lang w:val="en-GB"/>
        </w:rPr>
        <w:t>Available:</w:t>
      </w:r>
      <w:r w:rsidRPr="005D6BE9">
        <w:rPr>
          <w:rFonts w:ascii="Arial" w:hAnsi="Arial" w:cs="Arial"/>
          <w:lang w:val="en-GB"/>
        </w:rPr>
        <w:t xml:space="preserve"> </w:t>
      </w:r>
      <w:r w:rsidR="00BA248D" w:rsidRPr="001552EB">
        <w:rPr>
          <w:rFonts w:ascii="Arial" w:hAnsi="Arial" w:cs="Arial"/>
          <w:lang w:val="en-GB"/>
        </w:rPr>
        <w:t>https://www.ohchr.org/EN/HRBodies/CEDAW/Pages/GRTrafficking.aspx</w:t>
      </w:r>
      <w:r w:rsidRPr="005D6BE9">
        <w:rPr>
          <w:rFonts w:ascii="Arial" w:hAnsi="Arial" w:cs="Arial"/>
          <w:lang w:val="en-GB"/>
        </w:rPr>
        <w:t>.</w:t>
      </w:r>
    </w:p>
    <w:p w14:paraId="5CD325EA" w14:textId="77777777" w:rsidR="00BA248D" w:rsidRPr="005D6BE9" w:rsidRDefault="00BA248D" w:rsidP="005D6BE9">
      <w:pPr>
        <w:pStyle w:val="EndNoteBibliography"/>
        <w:spacing w:after="0" w:line="360" w:lineRule="auto"/>
        <w:jc w:val="both"/>
        <w:rPr>
          <w:rFonts w:ascii="Arial" w:hAnsi="Arial" w:cs="Arial"/>
          <w:lang w:val="en-GB"/>
        </w:rPr>
      </w:pPr>
    </w:p>
    <w:p w14:paraId="6F7E0823" w14:textId="709C9A91"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lastRenderedPageBreak/>
        <w:t xml:space="preserve">Parliamentary Joint Committee On Law Enforcement (PJCLE). (2017). </w:t>
      </w:r>
      <w:r w:rsidRPr="005D6BE9">
        <w:rPr>
          <w:rFonts w:ascii="Arial" w:hAnsi="Arial" w:cs="Arial"/>
          <w:i/>
          <w:lang w:val="en-GB"/>
        </w:rPr>
        <w:t xml:space="preserve">An </w:t>
      </w:r>
      <w:r w:rsidR="004F3871">
        <w:rPr>
          <w:rFonts w:ascii="Arial" w:hAnsi="Arial" w:cs="Arial"/>
          <w:i/>
          <w:lang w:val="en-GB"/>
        </w:rPr>
        <w:t>I</w:t>
      </w:r>
      <w:r w:rsidRPr="005D6BE9">
        <w:rPr>
          <w:rFonts w:ascii="Arial" w:hAnsi="Arial" w:cs="Arial"/>
          <w:i/>
          <w:lang w:val="en-GB"/>
        </w:rPr>
        <w:t xml:space="preserve">nquiry into </w:t>
      </w:r>
      <w:r w:rsidR="004F3871">
        <w:rPr>
          <w:rFonts w:ascii="Arial" w:hAnsi="Arial" w:cs="Arial"/>
          <w:i/>
          <w:lang w:val="en-GB"/>
        </w:rPr>
        <w:t>H</w:t>
      </w:r>
      <w:r w:rsidRPr="005D6BE9">
        <w:rPr>
          <w:rFonts w:ascii="Arial" w:hAnsi="Arial" w:cs="Arial"/>
          <w:i/>
          <w:lang w:val="en-GB"/>
        </w:rPr>
        <w:t xml:space="preserve">uman </w:t>
      </w:r>
      <w:r w:rsidR="004F3871">
        <w:rPr>
          <w:rFonts w:ascii="Arial" w:hAnsi="Arial" w:cs="Arial"/>
          <w:i/>
          <w:lang w:val="en-GB"/>
        </w:rPr>
        <w:t>T</w:t>
      </w:r>
      <w:r w:rsidRPr="005D6BE9">
        <w:rPr>
          <w:rFonts w:ascii="Arial" w:hAnsi="Arial" w:cs="Arial"/>
          <w:i/>
          <w:lang w:val="en-GB"/>
        </w:rPr>
        <w:t xml:space="preserve">rafficking, </w:t>
      </w:r>
      <w:r w:rsidR="004F3871">
        <w:rPr>
          <w:rFonts w:ascii="Arial" w:hAnsi="Arial" w:cs="Arial"/>
          <w:i/>
          <w:lang w:val="en-GB"/>
        </w:rPr>
        <w:t>S</w:t>
      </w:r>
      <w:r w:rsidRPr="005D6BE9">
        <w:rPr>
          <w:rFonts w:ascii="Arial" w:hAnsi="Arial" w:cs="Arial"/>
          <w:i/>
          <w:lang w:val="en-GB"/>
        </w:rPr>
        <w:t xml:space="preserve">lavery and </w:t>
      </w:r>
      <w:r w:rsidR="004F3871">
        <w:rPr>
          <w:rFonts w:ascii="Arial" w:hAnsi="Arial" w:cs="Arial"/>
          <w:i/>
          <w:lang w:val="en-GB"/>
        </w:rPr>
        <w:t>S</w:t>
      </w:r>
      <w:r w:rsidRPr="005D6BE9">
        <w:rPr>
          <w:rFonts w:ascii="Arial" w:hAnsi="Arial" w:cs="Arial"/>
          <w:i/>
          <w:lang w:val="en-GB"/>
        </w:rPr>
        <w:t xml:space="preserve">lavery-like </w:t>
      </w:r>
      <w:r w:rsidR="004F3871">
        <w:rPr>
          <w:rFonts w:ascii="Arial" w:hAnsi="Arial" w:cs="Arial"/>
          <w:i/>
          <w:lang w:val="en-GB"/>
        </w:rPr>
        <w:t>P</w:t>
      </w:r>
      <w:r w:rsidRPr="005D6BE9">
        <w:rPr>
          <w:rFonts w:ascii="Arial" w:hAnsi="Arial" w:cs="Arial"/>
          <w:i/>
          <w:lang w:val="en-GB"/>
        </w:rPr>
        <w:t>ractices</w:t>
      </w:r>
      <w:r w:rsidRPr="005D6BE9">
        <w:rPr>
          <w:rFonts w:ascii="Arial" w:hAnsi="Arial" w:cs="Arial"/>
          <w:lang w:val="en-GB"/>
        </w:rPr>
        <w:t xml:space="preserve">. </w:t>
      </w:r>
      <w:r w:rsidR="00081341" w:rsidRPr="005D6BE9">
        <w:rPr>
          <w:rFonts w:ascii="Arial" w:hAnsi="Arial" w:cs="Arial"/>
          <w:lang w:val="en-GB"/>
        </w:rPr>
        <w:t>Available:</w:t>
      </w:r>
      <w:r w:rsidRPr="005D6BE9">
        <w:rPr>
          <w:rFonts w:ascii="Arial" w:hAnsi="Arial" w:cs="Arial"/>
          <w:lang w:val="en-GB"/>
        </w:rPr>
        <w:t xml:space="preserve"> </w:t>
      </w:r>
      <w:r w:rsidRPr="001552EB">
        <w:rPr>
          <w:rFonts w:ascii="Arial" w:hAnsi="Arial" w:cs="Arial"/>
          <w:lang w:val="en-GB"/>
        </w:rPr>
        <w:t>https://www.aph.gov.au/Parliamentary_Business/Committees/Joint/Law_Enforcement/Humantrafficking45/Report</w:t>
      </w:r>
      <w:r w:rsidRPr="005D6BE9">
        <w:rPr>
          <w:rFonts w:ascii="Arial" w:hAnsi="Arial" w:cs="Arial"/>
          <w:lang w:val="en-GB"/>
        </w:rPr>
        <w:t>.</w:t>
      </w:r>
    </w:p>
    <w:p w14:paraId="2D057642" w14:textId="77777777" w:rsidR="00BA248D" w:rsidRPr="005D6BE9" w:rsidRDefault="00BA248D" w:rsidP="005D6BE9">
      <w:pPr>
        <w:pStyle w:val="EndNoteBibliography"/>
        <w:spacing w:after="0" w:line="360" w:lineRule="auto"/>
        <w:jc w:val="both"/>
        <w:rPr>
          <w:rFonts w:ascii="Arial" w:hAnsi="Arial" w:cs="Arial"/>
          <w:lang w:val="en-GB"/>
        </w:rPr>
      </w:pPr>
    </w:p>
    <w:p w14:paraId="510B0D24" w14:textId="4087D3E3"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Pearson, E. (2002). </w:t>
      </w:r>
      <w:r w:rsidRPr="005D6BE9">
        <w:rPr>
          <w:rFonts w:ascii="Arial" w:hAnsi="Arial" w:cs="Arial"/>
          <w:i/>
          <w:iCs/>
          <w:lang w:val="en-GB"/>
        </w:rPr>
        <w:t xml:space="preserve">Human </w:t>
      </w:r>
      <w:r w:rsidR="004F3871">
        <w:rPr>
          <w:rFonts w:ascii="Arial" w:hAnsi="Arial" w:cs="Arial"/>
          <w:i/>
          <w:iCs/>
          <w:lang w:val="en-GB"/>
        </w:rPr>
        <w:t>T</w:t>
      </w:r>
      <w:r w:rsidRPr="005D6BE9">
        <w:rPr>
          <w:rFonts w:ascii="Arial" w:hAnsi="Arial" w:cs="Arial"/>
          <w:i/>
          <w:iCs/>
          <w:lang w:val="en-GB"/>
        </w:rPr>
        <w:t xml:space="preserve">raffic, </w:t>
      </w:r>
      <w:r w:rsidR="004F3871">
        <w:rPr>
          <w:rFonts w:ascii="Arial" w:hAnsi="Arial" w:cs="Arial"/>
          <w:i/>
          <w:iCs/>
          <w:lang w:val="en-GB"/>
        </w:rPr>
        <w:t>H</w:t>
      </w:r>
      <w:r w:rsidRPr="005D6BE9">
        <w:rPr>
          <w:rFonts w:ascii="Arial" w:hAnsi="Arial" w:cs="Arial"/>
          <w:i/>
          <w:iCs/>
          <w:lang w:val="en-GB"/>
        </w:rPr>
        <w:t xml:space="preserve">uman </w:t>
      </w:r>
      <w:r w:rsidR="004F3871">
        <w:rPr>
          <w:rFonts w:ascii="Arial" w:hAnsi="Arial" w:cs="Arial"/>
          <w:i/>
          <w:iCs/>
          <w:lang w:val="en-GB"/>
        </w:rPr>
        <w:t>R</w:t>
      </w:r>
      <w:r w:rsidRPr="005D6BE9">
        <w:rPr>
          <w:rFonts w:ascii="Arial" w:hAnsi="Arial" w:cs="Arial"/>
          <w:i/>
          <w:iCs/>
          <w:lang w:val="en-GB"/>
        </w:rPr>
        <w:t xml:space="preserve">ights: Redefining </w:t>
      </w:r>
      <w:r w:rsidR="004F3871">
        <w:rPr>
          <w:rFonts w:ascii="Arial" w:hAnsi="Arial" w:cs="Arial"/>
          <w:i/>
          <w:iCs/>
          <w:lang w:val="en-GB"/>
        </w:rPr>
        <w:t>V</w:t>
      </w:r>
      <w:r w:rsidRPr="005D6BE9">
        <w:rPr>
          <w:rFonts w:ascii="Arial" w:hAnsi="Arial" w:cs="Arial"/>
          <w:i/>
          <w:iCs/>
          <w:lang w:val="en-GB"/>
        </w:rPr>
        <w:t xml:space="preserve">ictim </w:t>
      </w:r>
      <w:r w:rsidR="004F3871">
        <w:rPr>
          <w:rFonts w:ascii="Arial" w:hAnsi="Arial" w:cs="Arial"/>
          <w:i/>
          <w:iCs/>
          <w:lang w:val="en-GB"/>
        </w:rPr>
        <w:t>P</w:t>
      </w:r>
      <w:r w:rsidRPr="005D6BE9">
        <w:rPr>
          <w:rFonts w:ascii="Arial" w:hAnsi="Arial" w:cs="Arial"/>
          <w:i/>
          <w:iCs/>
          <w:lang w:val="en-GB"/>
        </w:rPr>
        <w:t>rotection</w:t>
      </w:r>
      <w:r w:rsidRPr="005D6BE9">
        <w:rPr>
          <w:rFonts w:ascii="Arial" w:hAnsi="Arial" w:cs="Arial"/>
          <w:lang w:val="en-GB"/>
        </w:rPr>
        <w:t>. Anti-Slavery International.</w:t>
      </w:r>
    </w:p>
    <w:p w14:paraId="3B916D5E" w14:textId="77777777" w:rsidR="00BA248D" w:rsidRPr="005D6BE9" w:rsidRDefault="00BA248D" w:rsidP="005D6BE9">
      <w:pPr>
        <w:pStyle w:val="EndNoteBibliography"/>
        <w:spacing w:after="0" w:line="360" w:lineRule="auto"/>
        <w:jc w:val="both"/>
        <w:rPr>
          <w:rFonts w:ascii="Arial" w:hAnsi="Arial" w:cs="Arial"/>
          <w:lang w:val="en-GB"/>
        </w:rPr>
      </w:pPr>
    </w:p>
    <w:p w14:paraId="3004039B" w14:textId="37D918B8"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Renshaw, L. (2016). </w:t>
      </w:r>
      <w:r w:rsidR="00081341" w:rsidRPr="005D6BE9">
        <w:rPr>
          <w:rFonts w:ascii="Arial" w:hAnsi="Arial" w:cs="Arial"/>
          <w:lang w:val="en-GB"/>
        </w:rPr>
        <w:t>‘</w:t>
      </w:r>
      <w:r w:rsidRPr="005D6BE9">
        <w:rPr>
          <w:rFonts w:ascii="Arial" w:hAnsi="Arial" w:cs="Arial"/>
          <w:lang w:val="en-GB"/>
        </w:rPr>
        <w:t xml:space="preserve">Migrating for </w:t>
      </w:r>
      <w:r w:rsidR="004F3871">
        <w:rPr>
          <w:rFonts w:ascii="Arial" w:hAnsi="Arial" w:cs="Arial"/>
          <w:lang w:val="en-GB"/>
        </w:rPr>
        <w:t>W</w:t>
      </w:r>
      <w:r w:rsidRPr="005D6BE9">
        <w:rPr>
          <w:rFonts w:ascii="Arial" w:hAnsi="Arial" w:cs="Arial"/>
          <w:lang w:val="en-GB"/>
        </w:rPr>
        <w:t xml:space="preserve">ork and </w:t>
      </w:r>
      <w:r w:rsidR="004F3871">
        <w:rPr>
          <w:rFonts w:ascii="Arial" w:hAnsi="Arial" w:cs="Arial"/>
          <w:lang w:val="en-GB"/>
        </w:rPr>
        <w:t>S</w:t>
      </w:r>
      <w:r w:rsidRPr="005D6BE9">
        <w:rPr>
          <w:rFonts w:ascii="Arial" w:hAnsi="Arial" w:cs="Arial"/>
          <w:lang w:val="en-GB"/>
        </w:rPr>
        <w:t xml:space="preserve">tudy: The </w:t>
      </w:r>
      <w:r w:rsidR="004F3871">
        <w:rPr>
          <w:rFonts w:ascii="Arial" w:hAnsi="Arial" w:cs="Arial"/>
          <w:lang w:val="en-GB"/>
        </w:rPr>
        <w:t>R</w:t>
      </w:r>
      <w:r w:rsidRPr="005D6BE9">
        <w:rPr>
          <w:rFonts w:ascii="Arial" w:hAnsi="Arial" w:cs="Arial"/>
          <w:lang w:val="en-GB"/>
        </w:rPr>
        <w:t xml:space="preserve">ole of the </w:t>
      </w:r>
      <w:r w:rsidR="00EB6028">
        <w:rPr>
          <w:rFonts w:ascii="Arial" w:hAnsi="Arial" w:cs="Arial"/>
          <w:lang w:val="en-GB"/>
        </w:rPr>
        <w:t>M</w:t>
      </w:r>
      <w:r w:rsidRPr="005D6BE9">
        <w:rPr>
          <w:rFonts w:ascii="Arial" w:hAnsi="Arial" w:cs="Arial"/>
          <w:lang w:val="en-GB"/>
        </w:rPr>
        <w:t xml:space="preserve">igration </w:t>
      </w:r>
      <w:r w:rsidR="00EB6028">
        <w:rPr>
          <w:rFonts w:ascii="Arial" w:hAnsi="Arial" w:cs="Arial"/>
          <w:lang w:val="en-GB"/>
        </w:rPr>
        <w:t>B</w:t>
      </w:r>
      <w:r w:rsidRPr="005D6BE9">
        <w:rPr>
          <w:rFonts w:ascii="Arial" w:hAnsi="Arial" w:cs="Arial"/>
          <w:lang w:val="en-GB"/>
        </w:rPr>
        <w:t xml:space="preserve">roker in </w:t>
      </w:r>
      <w:r w:rsidR="00EB6028">
        <w:rPr>
          <w:rFonts w:ascii="Arial" w:hAnsi="Arial" w:cs="Arial"/>
          <w:lang w:val="en-GB"/>
        </w:rPr>
        <w:t>F</w:t>
      </w:r>
      <w:r w:rsidRPr="005D6BE9">
        <w:rPr>
          <w:rFonts w:ascii="Arial" w:hAnsi="Arial" w:cs="Arial"/>
          <w:lang w:val="en-GB"/>
        </w:rPr>
        <w:t xml:space="preserve">acilitating </w:t>
      </w:r>
      <w:r w:rsidR="00EB6028">
        <w:rPr>
          <w:rFonts w:ascii="Arial" w:hAnsi="Arial" w:cs="Arial"/>
          <w:lang w:val="en-GB"/>
        </w:rPr>
        <w:t>W</w:t>
      </w:r>
      <w:r w:rsidRPr="005D6BE9">
        <w:rPr>
          <w:rFonts w:ascii="Arial" w:hAnsi="Arial" w:cs="Arial"/>
          <w:lang w:val="en-GB"/>
        </w:rPr>
        <w:t xml:space="preserve">orkplace </w:t>
      </w:r>
      <w:r w:rsidR="00EB6028">
        <w:rPr>
          <w:rFonts w:ascii="Arial" w:hAnsi="Arial" w:cs="Arial"/>
          <w:lang w:val="en-GB"/>
        </w:rPr>
        <w:t>E</w:t>
      </w:r>
      <w:r w:rsidRPr="005D6BE9">
        <w:rPr>
          <w:rFonts w:ascii="Arial" w:hAnsi="Arial" w:cs="Arial"/>
          <w:lang w:val="en-GB"/>
        </w:rPr>
        <w:t xml:space="preserve">xploitation, </w:t>
      </w:r>
      <w:r w:rsidR="00EB6028">
        <w:rPr>
          <w:rFonts w:ascii="Arial" w:hAnsi="Arial" w:cs="Arial"/>
          <w:lang w:val="en-GB"/>
        </w:rPr>
        <w:t>H</w:t>
      </w:r>
      <w:r w:rsidRPr="005D6BE9">
        <w:rPr>
          <w:rFonts w:ascii="Arial" w:hAnsi="Arial" w:cs="Arial"/>
          <w:lang w:val="en-GB"/>
        </w:rPr>
        <w:t xml:space="preserve">uman </w:t>
      </w:r>
      <w:r w:rsidR="00EB6028">
        <w:rPr>
          <w:rFonts w:ascii="Arial" w:hAnsi="Arial" w:cs="Arial"/>
          <w:lang w:val="en-GB"/>
        </w:rPr>
        <w:t>T</w:t>
      </w:r>
      <w:r w:rsidRPr="005D6BE9">
        <w:rPr>
          <w:rFonts w:ascii="Arial" w:hAnsi="Arial" w:cs="Arial"/>
          <w:lang w:val="en-GB"/>
        </w:rPr>
        <w:t xml:space="preserve">rafficking and </w:t>
      </w:r>
      <w:r w:rsidR="00EB6028">
        <w:rPr>
          <w:rFonts w:ascii="Arial" w:hAnsi="Arial" w:cs="Arial"/>
          <w:lang w:val="en-GB"/>
        </w:rPr>
        <w:t>S</w:t>
      </w:r>
      <w:r w:rsidRPr="005D6BE9">
        <w:rPr>
          <w:rFonts w:ascii="Arial" w:hAnsi="Arial" w:cs="Arial"/>
          <w:lang w:val="en-GB"/>
        </w:rPr>
        <w:t>lavery</w:t>
      </w:r>
      <w:r w:rsidR="00081341" w:rsidRPr="005D6BE9">
        <w:rPr>
          <w:rFonts w:ascii="Arial" w:hAnsi="Arial" w:cs="Arial"/>
          <w:lang w:val="en-GB"/>
        </w:rPr>
        <w:t>’</w:t>
      </w:r>
      <w:r w:rsidRPr="005D6BE9">
        <w:rPr>
          <w:rFonts w:ascii="Arial" w:hAnsi="Arial" w:cs="Arial"/>
          <w:lang w:val="en-GB"/>
        </w:rPr>
        <w:t xml:space="preserve">. </w:t>
      </w:r>
      <w:r w:rsidRPr="005D6BE9">
        <w:rPr>
          <w:rFonts w:ascii="Arial" w:hAnsi="Arial" w:cs="Arial"/>
          <w:i/>
          <w:lang w:val="en-GB"/>
        </w:rPr>
        <w:t xml:space="preserve">Trends &amp; Issues in Crime &amp; Criminal Justice, </w:t>
      </w:r>
      <w:r w:rsidRPr="005D6BE9">
        <w:rPr>
          <w:rFonts w:ascii="Arial" w:hAnsi="Arial" w:cs="Arial"/>
          <w:lang w:val="en-GB"/>
        </w:rPr>
        <w:t xml:space="preserve">527. </w:t>
      </w:r>
    </w:p>
    <w:p w14:paraId="6A67B4B5" w14:textId="77777777" w:rsidR="00BA248D" w:rsidRPr="005D6BE9" w:rsidRDefault="00BA248D" w:rsidP="005D6BE9">
      <w:pPr>
        <w:pStyle w:val="EndNoteBibliography"/>
        <w:spacing w:after="0" w:line="360" w:lineRule="auto"/>
        <w:jc w:val="both"/>
        <w:rPr>
          <w:rFonts w:ascii="Arial" w:hAnsi="Arial" w:cs="Arial"/>
          <w:lang w:val="en-GB"/>
        </w:rPr>
      </w:pPr>
    </w:p>
    <w:p w14:paraId="250B2FDF" w14:textId="5797C687"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Social Policy Group, &amp; Law and Bills Digest Group. (2003). </w:t>
      </w:r>
      <w:r w:rsidRPr="005D6BE9">
        <w:rPr>
          <w:rFonts w:ascii="Arial" w:hAnsi="Arial" w:cs="Arial"/>
          <w:i/>
          <w:lang w:val="en-GB"/>
        </w:rPr>
        <w:t>Trafficking and the Sex Industry: from Impunity to Protection</w:t>
      </w:r>
      <w:r w:rsidRPr="005D6BE9">
        <w:rPr>
          <w:rFonts w:ascii="Arial" w:hAnsi="Arial" w:cs="Arial"/>
          <w:lang w:val="en-GB"/>
        </w:rPr>
        <w:t xml:space="preserve">. </w:t>
      </w:r>
      <w:r w:rsidR="00081341" w:rsidRPr="005D6BE9">
        <w:rPr>
          <w:rFonts w:ascii="Arial" w:hAnsi="Arial" w:cs="Arial"/>
          <w:lang w:val="en-GB"/>
        </w:rPr>
        <w:t>Available:</w:t>
      </w:r>
      <w:r w:rsidRPr="005D6BE9">
        <w:rPr>
          <w:rFonts w:ascii="Arial" w:hAnsi="Arial" w:cs="Arial"/>
          <w:lang w:val="en-GB"/>
        </w:rPr>
        <w:t xml:space="preserve"> </w:t>
      </w:r>
      <w:r w:rsidRPr="001552EB">
        <w:rPr>
          <w:rFonts w:ascii="Arial" w:hAnsi="Arial" w:cs="Arial"/>
          <w:lang w:val="en-GB"/>
        </w:rPr>
        <w:t>https://www.parliament.nsw.gov.au/researchpapers/Documents/the-control-of-prostitution-an-update/14-03.pdf</w:t>
      </w:r>
      <w:r w:rsidRPr="005D6BE9">
        <w:rPr>
          <w:rFonts w:ascii="Arial" w:hAnsi="Arial" w:cs="Arial"/>
          <w:lang w:val="en-GB"/>
        </w:rPr>
        <w:t xml:space="preserve">. </w:t>
      </w:r>
    </w:p>
    <w:p w14:paraId="529597DC" w14:textId="77777777" w:rsidR="00BA248D" w:rsidRPr="005D6BE9" w:rsidRDefault="00BA248D" w:rsidP="005D6BE9">
      <w:pPr>
        <w:pStyle w:val="EndNoteBibliography"/>
        <w:spacing w:after="0" w:line="360" w:lineRule="auto"/>
        <w:jc w:val="both"/>
        <w:rPr>
          <w:rFonts w:ascii="Arial" w:hAnsi="Arial" w:cs="Arial"/>
          <w:lang w:val="en-GB"/>
        </w:rPr>
      </w:pPr>
    </w:p>
    <w:p w14:paraId="39383A54" w14:textId="303AAD50"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Spanger, M. (2011). </w:t>
      </w:r>
      <w:r w:rsidR="00081341" w:rsidRPr="005D6BE9">
        <w:rPr>
          <w:rFonts w:ascii="Arial" w:hAnsi="Arial" w:cs="Arial"/>
          <w:lang w:val="en-GB"/>
        </w:rPr>
        <w:t>‘</w:t>
      </w:r>
      <w:r w:rsidRPr="005D6BE9">
        <w:rPr>
          <w:rFonts w:ascii="Arial" w:hAnsi="Arial" w:cs="Arial"/>
          <w:lang w:val="en-GB"/>
        </w:rPr>
        <w:t xml:space="preserve">Human </w:t>
      </w:r>
      <w:r w:rsidR="00EB6028">
        <w:rPr>
          <w:rFonts w:ascii="Arial" w:hAnsi="Arial" w:cs="Arial"/>
          <w:lang w:val="en-GB"/>
        </w:rPr>
        <w:t>T</w:t>
      </w:r>
      <w:r w:rsidRPr="005D6BE9">
        <w:rPr>
          <w:rFonts w:ascii="Arial" w:hAnsi="Arial" w:cs="Arial"/>
          <w:lang w:val="en-GB"/>
        </w:rPr>
        <w:t xml:space="preserve">rafficking as a </w:t>
      </w:r>
      <w:r w:rsidR="00EB6028">
        <w:rPr>
          <w:rFonts w:ascii="Arial" w:hAnsi="Arial" w:cs="Arial"/>
          <w:lang w:val="en-GB"/>
        </w:rPr>
        <w:t>L</w:t>
      </w:r>
      <w:r w:rsidRPr="005D6BE9">
        <w:rPr>
          <w:rFonts w:ascii="Arial" w:hAnsi="Arial" w:cs="Arial"/>
          <w:lang w:val="en-GB"/>
        </w:rPr>
        <w:t xml:space="preserve">ever for </w:t>
      </w:r>
      <w:r w:rsidR="00EB6028">
        <w:rPr>
          <w:rFonts w:ascii="Arial" w:hAnsi="Arial" w:cs="Arial"/>
          <w:lang w:val="en-GB"/>
        </w:rPr>
        <w:t>F</w:t>
      </w:r>
      <w:r w:rsidRPr="005D6BE9">
        <w:rPr>
          <w:rFonts w:ascii="Arial" w:hAnsi="Arial" w:cs="Arial"/>
          <w:lang w:val="en-GB"/>
        </w:rPr>
        <w:t xml:space="preserve">eminist </w:t>
      </w:r>
      <w:r w:rsidR="00EB6028">
        <w:rPr>
          <w:rFonts w:ascii="Arial" w:hAnsi="Arial" w:cs="Arial"/>
          <w:lang w:val="en-GB"/>
        </w:rPr>
        <w:t>V</w:t>
      </w:r>
      <w:r w:rsidRPr="005D6BE9">
        <w:rPr>
          <w:rFonts w:ascii="Arial" w:hAnsi="Arial" w:cs="Arial"/>
          <w:lang w:val="en-GB"/>
        </w:rPr>
        <w:t xml:space="preserve">oices? Transformations of the Danish </w:t>
      </w:r>
      <w:r w:rsidR="00EB6028">
        <w:rPr>
          <w:rFonts w:ascii="Arial" w:hAnsi="Arial" w:cs="Arial"/>
          <w:lang w:val="en-GB"/>
        </w:rPr>
        <w:t>P</w:t>
      </w:r>
      <w:r w:rsidRPr="005D6BE9">
        <w:rPr>
          <w:rFonts w:ascii="Arial" w:hAnsi="Arial" w:cs="Arial"/>
          <w:lang w:val="en-GB"/>
        </w:rPr>
        <w:t xml:space="preserve">olicy </w:t>
      </w:r>
      <w:r w:rsidR="00EB6028">
        <w:rPr>
          <w:rFonts w:ascii="Arial" w:hAnsi="Arial" w:cs="Arial"/>
          <w:lang w:val="en-GB"/>
        </w:rPr>
        <w:t>Fi</w:t>
      </w:r>
      <w:r w:rsidRPr="005D6BE9">
        <w:rPr>
          <w:rFonts w:ascii="Arial" w:hAnsi="Arial" w:cs="Arial"/>
          <w:lang w:val="en-GB"/>
        </w:rPr>
        <w:t xml:space="preserve">eld of </w:t>
      </w:r>
      <w:r w:rsidR="00EB6028">
        <w:rPr>
          <w:rFonts w:ascii="Arial" w:hAnsi="Arial" w:cs="Arial"/>
          <w:lang w:val="en-GB"/>
        </w:rPr>
        <w:t>P</w:t>
      </w:r>
      <w:r w:rsidRPr="005D6BE9">
        <w:rPr>
          <w:rFonts w:ascii="Arial" w:hAnsi="Arial" w:cs="Arial"/>
          <w:lang w:val="en-GB"/>
        </w:rPr>
        <w:t>rostitution</w:t>
      </w:r>
      <w:r w:rsidR="00081341" w:rsidRPr="005D6BE9">
        <w:rPr>
          <w:rFonts w:ascii="Arial" w:hAnsi="Arial" w:cs="Arial"/>
          <w:lang w:val="en-GB"/>
        </w:rPr>
        <w:t>’</w:t>
      </w:r>
      <w:r w:rsidRPr="005D6BE9">
        <w:rPr>
          <w:rFonts w:ascii="Arial" w:hAnsi="Arial" w:cs="Arial"/>
          <w:lang w:val="en-GB"/>
        </w:rPr>
        <w:t xml:space="preserve">. </w:t>
      </w:r>
      <w:r w:rsidRPr="005D6BE9">
        <w:rPr>
          <w:rFonts w:ascii="Arial" w:hAnsi="Arial" w:cs="Arial"/>
          <w:i/>
          <w:lang w:val="en-GB"/>
        </w:rPr>
        <w:t xml:space="preserve">Critical Social Policy, </w:t>
      </w:r>
      <w:r w:rsidRPr="005D6BE9">
        <w:rPr>
          <w:rFonts w:ascii="Arial" w:hAnsi="Arial" w:cs="Arial"/>
          <w:iCs/>
          <w:lang w:val="en-GB"/>
        </w:rPr>
        <w:t>31</w:t>
      </w:r>
      <w:r w:rsidRPr="005D6BE9">
        <w:rPr>
          <w:rFonts w:ascii="Arial" w:hAnsi="Arial" w:cs="Arial"/>
          <w:lang w:val="en-GB"/>
        </w:rPr>
        <w:t xml:space="preserve">(4), 517-539. </w:t>
      </w:r>
    </w:p>
    <w:p w14:paraId="3933A178" w14:textId="77777777" w:rsidR="00BA248D" w:rsidRPr="005D6BE9" w:rsidRDefault="00BA248D" w:rsidP="005D6BE9">
      <w:pPr>
        <w:pStyle w:val="EndNoteBibliography"/>
        <w:spacing w:after="0" w:line="360" w:lineRule="auto"/>
        <w:jc w:val="both"/>
        <w:rPr>
          <w:rFonts w:ascii="Arial" w:hAnsi="Arial" w:cs="Arial"/>
          <w:lang w:val="en-GB"/>
        </w:rPr>
      </w:pPr>
    </w:p>
    <w:p w14:paraId="3D228AD2" w14:textId="300D3D97"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The Anti-People Trafficking Interdepartmental Committee (APTIC). (2009). </w:t>
      </w:r>
      <w:r w:rsidRPr="005D6BE9">
        <w:rPr>
          <w:rFonts w:ascii="Arial" w:hAnsi="Arial" w:cs="Arial"/>
          <w:i/>
          <w:lang w:val="en-GB"/>
        </w:rPr>
        <w:t>Trafficking In Person: The Australian Government Response [January 2004 – April 2009]</w:t>
      </w:r>
      <w:r w:rsidRPr="005D6BE9">
        <w:rPr>
          <w:rFonts w:ascii="Arial" w:hAnsi="Arial" w:cs="Arial"/>
          <w:lang w:val="en-GB"/>
        </w:rPr>
        <w:t xml:space="preserve">. Canberra, Australia. </w:t>
      </w:r>
    </w:p>
    <w:p w14:paraId="2E2D2B51" w14:textId="77777777" w:rsidR="00BA248D" w:rsidRPr="005D6BE9" w:rsidRDefault="00BA248D" w:rsidP="005D6BE9">
      <w:pPr>
        <w:pStyle w:val="EndNoteBibliography"/>
        <w:spacing w:after="0" w:line="360" w:lineRule="auto"/>
        <w:jc w:val="both"/>
        <w:rPr>
          <w:rFonts w:ascii="Arial" w:hAnsi="Arial" w:cs="Arial"/>
          <w:lang w:val="en-GB"/>
        </w:rPr>
      </w:pPr>
    </w:p>
    <w:p w14:paraId="7134801D" w14:textId="0700A007"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The Anti-People Trafficking Interdepartmental Committee (APTIC). (2010). </w:t>
      </w:r>
      <w:r w:rsidRPr="005D6BE9">
        <w:rPr>
          <w:rFonts w:ascii="Arial" w:hAnsi="Arial" w:cs="Arial"/>
          <w:i/>
          <w:lang w:val="en-GB"/>
        </w:rPr>
        <w:t>Trafficking In Person: The Australian Government Response 1 May 2009 – 30 June 2010</w:t>
      </w:r>
      <w:r w:rsidRPr="005D6BE9">
        <w:rPr>
          <w:rFonts w:ascii="Arial" w:hAnsi="Arial" w:cs="Arial"/>
          <w:lang w:val="en-GB"/>
        </w:rPr>
        <w:t>. Canberra, Australia.</w:t>
      </w:r>
    </w:p>
    <w:p w14:paraId="583C4AE2" w14:textId="77777777" w:rsidR="00BA248D" w:rsidRPr="005D6BE9" w:rsidRDefault="00BA248D" w:rsidP="005D6BE9">
      <w:pPr>
        <w:pStyle w:val="EndNoteBibliography"/>
        <w:spacing w:after="0" w:line="360" w:lineRule="auto"/>
        <w:jc w:val="both"/>
        <w:rPr>
          <w:rFonts w:ascii="Arial" w:hAnsi="Arial" w:cs="Arial"/>
          <w:lang w:val="en-GB"/>
        </w:rPr>
      </w:pPr>
    </w:p>
    <w:p w14:paraId="0623D2F9" w14:textId="1C119D51"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The Anti-People Trafficking Interdepartmental Committee (APTIC). (2011). </w:t>
      </w:r>
      <w:r w:rsidRPr="005D6BE9">
        <w:rPr>
          <w:rFonts w:ascii="Arial" w:hAnsi="Arial" w:cs="Arial"/>
          <w:i/>
          <w:lang w:val="en-GB"/>
        </w:rPr>
        <w:t>Trafficking In Person: The Australian Government Response 1 July 2010 – 30 June 2011</w:t>
      </w:r>
      <w:r w:rsidRPr="005D6BE9">
        <w:rPr>
          <w:rFonts w:ascii="Arial" w:hAnsi="Arial" w:cs="Arial"/>
          <w:lang w:val="en-GB"/>
        </w:rPr>
        <w:t>. Canberra, Australia: Author.</w:t>
      </w:r>
    </w:p>
    <w:p w14:paraId="6ACCDE67" w14:textId="77777777" w:rsidR="00BA248D" w:rsidRPr="005D6BE9" w:rsidRDefault="00BA248D" w:rsidP="005D6BE9">
      <w:pPr>
        <w:pStyle w:val="EndNoteBibliography"/>
        <w:spacing w:after="0" w:line="360" w:lineRule="auto"/>
        <w:jc w:val="both"/>
        <w:rPr>
          <w:rFonts w:ascii="Arial" w:hAnsi="Arial" w:cs="Arial"/>
          <w:lang w:val="en-GB"/>
        </w:rPr>
      </w:pPr>
    </w:p>
    <w:p w14:paraId="27614671" w14:textId="3E07DBAC"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The Anti-People Trafficking Interdepartmental Committee (APTIC). (2012). </w:t>
      </w:r>
      <w:r w:rsidRPr="005D6BE9">
        <w:rPr>
          <w:rFonts w:ascii="Arial" w:hAnsi="Arial" w:cs="Arial"/>
          <w:i/>
          <w:lang w:val="en-GB"/>
        </w:rPr>
        <w:t xml:space="preserve">Trafficking In Person: The Australian Government Response 1 July 2011 – 30 June 2012 </w:t>
      </w:r>
      <w:r w:rsidRPr="005D6BE9">
        <w:rPr>
          <w:rFonts w:ascii="Arial" w:hAnsi="Arial" w:cs="Arial"/>
          <w:lang w:val="en-GB"/>
        </w:rPr>
        <w:t>Canberra, Australia.</w:t>
      </w:r>
    </w:p>
    <w:p w14:paraId="63ACD56A" w14:textId="77777777" w:rsidR="00B82C2A" w:rsidRPr="005D6BE9" w:rsidRDefault="00B82C2A" w:rsidP="005D6BE9">
      <w:pPr>
        <w:pStyle w:val="EndNoteBibliography"/>
        <w:spacing w:after="0" w:line="360" w:lineRule="auto"/>
        <w:jc w:val="both"/>
        <w:rPr>
          <w:rFonts w:ascii="Arial" w:hAnsi="Arial" w:cs="Arial"/>
          <w:lang w:val="en-GB"/>
        </w:rPr>
      </w:pPr>
    </w:p>
    <w:p w14:paraId="59D8286D" w14:textId="4E8338FD"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lastRenderedPageBreak/>
        <w:t xml:space="preserve">The Interdepartmental Committee on Human Trafficking and Slavery (ICHTS). (2014a). </w:t>
      </w:r>
      <w:r w:rsidRPr="005D6BE9">
        <w:rPr>
          <w:rFonts w:ascii="Arial" w:hAnsi="Arial" w:cs="Arial"/>
          <w:i/>
          <w:lang w:val="en-GB"/>
        </w:rPr>
        <w:t>Trafficking In Person: The Australian Government Response 1 July 2012 – 30 June 2013</w:t>
      </w:r>
      <w:r w:rsidRPr="005D6BE9">
        <w:rPr>
          <w:rFonts w:ascii="Arial" w:hAnsi="Arial" w:cs="Arial"/>
          <w:lang w:val="en-GB"/>
        </w:rPr>
        <w:t>. Canberra, Australia.</w:t>
      </w:r>
    </w:p>
    <w:p w14:paraId="0007A9C4" w14:textId="77777777" w:rsidR="00B82C2A" w:rsidRPr="005D6BE9" w:rsidRDefault="00B82C2A" w:rsidP="005D6BE9">
      <w:pPr>
        <w:pStyle w:val="EndNoteBibliography"/>
        <w:spacing w:after="0" w:line="360" w:lineRule="auto"/>
        <w:jc w:val="both"/>
        <w:rPr>
          <w:rFonts w:ascii="Arial" w:hAnsi="Arial" w:cs="Arial"/>
          <w:lang w:val="en-GB"/>
        </w:rPr>
      </w:pPr>
    </w:p>
    <w:p w14:paraId="5493D375" w14:textId="1B2E2425"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The Interdepartmental Committee on Human Trafficking and Slavery (ICHTS). (2014b). </w:t>
      </w:r>
      <w:r w:rsidRPr="005D6BE9">
        <w:rPr>
          <w:rFonts w:ascii="Arial" w:hAnsi="Arial" w:cs="Arial"/>
          <w:i/>
          <w:lang w:val="en-GB"/>
        </w:rPr>
        <w:t>Trafficking In Person: The Australian Government Response 1 July 2013 – 30 June 2014</w:t>
      </w:r>
      <w:r w:rsidRPr="005D6BE9">
        <w:rPr>
          <w:rFonts w:ascii="Arial" w:hAnsi="Arial" w:cs="Arial"/>
          <w:lang w:val="en-GB"/>
        </w:rPr>
        <w:t>. Canberra, Australia.</w:t>
      </w:r>
    </w:p>
    <w:p w14:paraId="7CC1A16F" w14:textId="77777777" w:rsidR="00B82C2A" w:rsidRPr="005D6BE9" w:rsidRDefault="00B82C2A" w:rsidP="005D6BE9">
      <w:pPr>
        <w:pStyle w:val="EndNoteBibliography"/>
        <w:spacing w:after="0" w:line="360" w:lineRule="auto"/>
        <w:jc w:val="both"/>
        <w:rPr>
          <w:rFonts w:ascii="Arial" w:hAnsi="Arial" w:cs="Arial"/>
          <w:lang w:val="en-GB"/>
        </w:rPr>
      </w:pPr>
    </w:p>
    <w:p w14:paraId="1CBDE8F8" w14:textId="6FA4CDCF" w:rsidR="00B82C2A" w:rsidRPr="005D6BE9" w:rsidRDefault="00B82C2A"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The Interdepartmental Committee on Human Trafficking and Slavery (ICHTS). (na). </w:t>
      </w:r>
      <w:r w:rsidRPr="005D6BE9">
        <w:rPr>
          <w:rFonts w:ascii="Arial" w:hAnsi="Arial" w:cs="Arial"/>
          <w:i/>
          <w:lang w:val="en-GB"/>
        </w:rPr>
        <w:t xml:space="preserve">Trafficking In Person: The Australian Government Response 1 July 2014 – 30 June 2015 </w:t>
      </w:r>
      <w:r w:rsidRPr="005D6BE9">
        <w:rPr>
          <w:rFonts w:ascii="Arial" w:hAnsi="Arial" w:cs="Arial"/>
          <w:lang w:val="en-GB"/>
        </w:rPr>
        <w:t>Canberra, Australia.</w:t>
      </w:r>
    </w:p>
    <w:p w14:paraId="449E739A" w14:textId="77777777" w:rsidR="00B82C2A" w:rsidRPr="005D6BE9" w:rsidRDefault="00B82C2A" w:rsidP="005D6BE9">
      <w:pPr>
        <w:pStyle w:val="EndNoteBibliography"/>
        <w:spacing w:after="0" w:line="360" w:lineRule="auto"/>
        <w:jc w:val="both"/>
        <w:rPr>
          <w:rFonts w:ascii="Arial" w:hAnsi="Arial" w:cs="Arial"/>
          <w:lang w:val="en-GB"/>
        </w:rPr>
      </w:pPr>
    </w:p>
    <w:p w14:paraId="462424FE" w14:textId="20786095"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The Interdepartmental Committee on Human Trafficking and Slavery (ICHTS). (2016). </w:t>
      </w:r>
      <w:r w:rsidRPr="005D6BE9">
        <w:rPr>
          <w:rFonts w:ascii="Arial" w:hAnsi="Arial" w:cs="Arial"/>
          <w:i/>
          <w:lang w:val="en-GB"/>
        </w:rPr>
        <w:t>Trafficking In Person: The Australian Government Response 1 July 2015 – 30 June 2016</w:t>
      </w:r>
      <w:r w:rsidRPr="005D6BE9">
        <w:rPr>
          <w:rFonts w:ascii="Arial" w:hAnsi="Arial" w:cs="Arial"/>
          <w:lang w:val="en-GB"/>
        </w:rPr>
        <w:t>. Canberra, Australia.</w:t>
      </w:r>
    </w:p>
    <w:p w14:paraId="5FB8E81A" w14:textId="77777777" w:rsidR="00B82C2A" w:rsidRPr="005D6BE9" w:rsidRDefault="00B82C2A" w:rsidP="005D6BE9">
      <w:pPr>
        <w:pStyle w:val="EndNoteBibliography"/>
        <w:spacing w:after="0" w:line="360" w:lineRule="auto"/>
        <w:jc w:val="both"/>
        <w:rPr>
          <w:rFonts w:ascii="Arial" w:hAnsi="Arial" w:cs="Arial"/>
          <w:lang w:val="en-GB"/>
        </w:rPr>
      </w:pPr>
    </w:p>
    <w:p w14:paraId="272C7CA0" w14:textId="04998C1B"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The Law Reform Commission. (1990). </w:t>
      </w:r>
      <w:r w:rsidRPr="005D6BE9">
        <w:rPr>
          <w:rFonts w:ascii="Arial" w:hAnsi="Arial" w:cs="Arial"/>
          <w:i/>
          <w:lang w:val="en-GB"/>
        </w:rPr>
        <w:t>Criminal Admiralty Jurisdiction and Prize</w:t>
      </w:r>
      <w:r w:rsidRPr="005D6BE9">
        <w:rPr>
          <w:rFonts w:ascii="Arial" w:hAnsi="Arial" w:cs="Arial"/>
          <w:lang w:val="en-GB"/>
        </w:rPr>
        <w:t xml:space="preserve">. </w:t>
      </w:r>
      <w:r w:rsidR="00081341" w:rsidRPr="005D6BE9">
        <w:rPr>
          <w:rFonts w:ascii="Arial" w:hAnsi="Arial" w:cs="Arial"/>
          <w:lang w:val="en-GB"/>
        </w:rPr>
        <w:t>Available:</w:t>
      </w:r>
      <w:r w:rsidRPr="005D6BE9">
        <w:rPr>
          <w:rFonts w:ascii="Arial" w:hAnsi="Arial" w:cs="Arial"/>
          <w:lang w:val="en-GB"/>
        </w:rPr>
        <w:t xml:space="preserve"> </w:t>
      </w:r>
      <w:r w:rsidR="00B82C2A" w:rsidRPr="001552EB">
        <w:rPr>
          <w:rFonts w:ascii="Arial" w:hAnsi="Arial" w:cs="Arial"/>
          <w:lang w:val="en-GB"/>
        </w:rPr>
        <w:t>https://www.alrc.gov.au/inquiries/criminal-admiralty-jurisdiction-and-prize</w:t>
      </w:r>
      <w:r w:rsidRPr="005D6BE9">
        <w:rPr>
          <w:rFonts w:ascii="Arial" w:hAnsi="Arial" w:cs="Arial"/>
          <w:lang w:val="en-GB"/>
        </w:rPr>
        <w:t>.</w:t>
      </w:r>
    </w:p>
    <w:p w14:paraId="1CE86CE9" w14:textId="77777777" w:rsidR="00B82C2A" w:rsidRPr="005D6BE9" w:rsidRDefault="00B82C2A" w:rsidP="005D6BE9">
      <w:pPr>
        <w:pStyle w:val="EndNoteBibliography"/>
        <w:spacing w:after="0" w:line="360" w:lineRule="auto"/>
        <w:jc w:val="both"/>
        <w:rPr>
          <w:rFonts w:ascii="Arial" w:hAnsi="Arial" w:cs="Arial"/>
          <w:lang w:val="en-GB"/>
        </w:rPr>
      </w:pPr>
    </w:p>
    <w:p w14:paraId="70B5C549" w14:textId="7E12B1ED"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The Parliament of the Commonwealth of Australia. (2012). </w:t>
      </w:r>
      <w:r w:rsidRPr="005D6BE9">
        <w:rPr>
          <w:rFonts w:ascii="Arial" w:hAnsi="Arial" w:cs="Arial"/>
          <w:i/>
          <w:lang w:val="en-GB"/>
        </w:rPr>
        <w:t xml:space="preserve">Crimes Legislation Amendment (Slavery, Slavery-like conditions and People Trafficking) Bill 2012: the Explanatory Memoradum. </w:t>
      </w:r>
      <w:r w:rsidR="00081341" w:rsidRPr="005D6BE9">
        <w:rPr>
          <w:rFonts w:ascii="Arial" w:hAnsi="Arial" w:cs="Arial"/>
          <w:lang w:val="en-GB"/>
        </w:rPr>
        <w:t>Available:</w:t>
      </w:r>
      <w:r w:rsidRPr="005D6BE9">
        <w:rPr>
          <w:rFonts w:ascii="Arial" w:hAnsi="Arial" w:cs="Arial"/>
          <w:lang w:val="en-GB"/>
        </w:rPr>
        <w:t xml:space="preserve"> </w:t>
      </w:r>
      <w:r w:rsidRPr="001552EB">
        <w:rPr>
          <w:rFonts w:ascii="Arial" w:hAnsi="Arial" w:cs="Arial"/>
          <w:lang w:val="en-GB"/>
        </w:rPr>
        <w:t>https://parlinfo.aph.gov.au/parlInfo/download/legislation/ems/r4840_ems_e18ea7e8-91f4-4c8d-958c-bddb635b505a/upload_pdf/369090.pdf;fileType=application%2Fpdf</w:t>
      </w:r>
      <w:r w:rsidRPr="005D6BE9">
        <w:rPr>
          <w:rFonts w:ascii="Arial" w:hAnsi="Arial" w:cs="Arial"/>
          <w:lang w:val="en-GB"/>
        </w:rPr>
        <w:t xml:space="preserve">. </w:t>
      </w:r>
    </w:p>
    <w:p w14:paraId="45CBE211" w14:textId="77777777" w:rsidR="00B82C2A" w:rsidRPr="005D6BE9" w:rsidRDefault="00B82C2A" w:rsidP="005D6BE9">
      <w:pPr>
        <w:pStyle w:val="EndNoteBibliography"/>
        <w:spacing w:after="0" w:line="360" w:lineRule="auto"/>
        <w:jc w:val="both"/>
        <w:rPr>
          <w:rFonts w:ascii="Arial" w:hAnsi="Arial" w:cs="Arial"/>
          <w:lang w:val="en-GB"/>
        </w:rPr>
      </w:pPr>
    </w:p>
    <w:p w14:paraId="085E8672" w14:textId="7B79D5F1" w:rsidR="00DE56E0" w:rsidRPr="005D6BE9" w:rsidRDefault="00DE56E0" w:rsidP="005D6BE9">
      <w:pPr>
        <w:pStyle w:val="EndNoteBibliography"/>
        <w:spacing w:after="0" w:line="360" w:lineRule="auto"/>
        <w:jc w:val="both"/>
        <w:rPr>
          <w:rFonts w:ascii="Arial" w:hAnsi="Arial" w:cs="Arial"/>
          <w:lang w:val="en-GB"/>
        </w:rPr>
      </w:pPr>
      <w:r w:rsidRPr="005D6BE9">
        <w:rPr>
          <w:rFonts w:ascii="Arial" w:hAnsi="Arial" w:cs="Arial"/>
          <w:lang w:val="en-GB"/>
        </w:rPr>
        <w:t xml:space="preserve">Wilson, M., &amp; O’Brien, E. (2016). </w:t>
      </w:r>
      <w:r w:rsidR="00081341" w:rsidRPr="005D6BE9">
        <w:rPr>
          <w:rFonts w:ascii="Arial" w:hAnsi="Arial" w:cs="Arial"/>
          <w:lang w:val="en-GB"/>
        </w:rPr>
        <w:t>‘</w:t>
      </w:r>
      <w:r w:rsidRPr="005D6BE9">
        <w:rPr>
          <w:rFonts w:ascii="Arial" w:hAnsi="Arial" w:cs="Arial"/>
          <w:lang w:val="en-GB"/>
        </w:rPr>
        <w:t xml:space="preserve">Constructing the </w:t>
      </w:r>
      <w:r w:rsidR="00EB6028">
        <w:rPr>
          <w:rFonts w:ascii="Arial" w:hAnsi="Arial" w:cs="Arial"/>
          <w:lang w:val="en-GB"/>
        </w:rPr>
        <w:t>I</w:t>
      </w:r>
      <w:r w:rsidRPr="005D6BE9">
        <w:rPr>
          <w:rFonts w:ascii="Arial" w:hAnsi="Arial" w:cs="Arial"/>
          <w:lang w:val="en-GB"/>
        </w:rPr>
        <w:t xml:space="preserve">deal </w:t>
      </w:r>
      <w:r w:rsidR="00EB6028">
        <w:rPr>
          <w:rFonts w:ascii="Arial" w:hAnsi="Arial" w:cs="Arial"/>
          <w:lang w:val="en-GB"/>
        </w:rPr>
        <w:t>V</w:t>
      </w:r>
      <w:r w:rsidRPr="005D6BE9">
        <w:rPr>
          <w:rFonts w:ascii="Arial" w:hAnsi="Arial" w:cs="Arial"/>
          <w:lang w:val="en-GB"/>
        </w:rPr>
        <w:t xml:space="preserve">ictim in the United States of America’s </w:t>
      </w:r>
      <w:r w:rsidR="00EB6028">
        <w:rPr>
          <w:rFonts w:ascii="Arial" w:hAnsi="Arial" w:cs="Arial"/>
          <w:lang w:val="en-GB"/>
        </w:rPr>
        <w:t>A</w:t>
      </w:r>
      <w:r w:rsidRPr="005D6BE9">
        <w:rPr>
          <w:rFonts w:ascii="Arial" w:hAnsi="Arial" w:cs="Arial"/>
          <w:lang w:val="en-GB"/>
        </w:rPr>
        <w:t xml:space="preserve">nnual </w:t>
      </w:r>
      <w:r w:rsidR="00EB6028">
        <w:rPr>
          <w:rFonts w:ascii="Arial" w:hAnsi="Arial" w:cs="Arial"/>
          <w:lang w:val="en-GB"/>
        </w:rPr>
        <w:t>Tr</w:t>
      </w:r>
      <w:r w:rsidRPr="005D6BE9">
        <w:rPr>
          <w:rFonts w:ascii="Arial" w:hAnsi="Arial" w:cs="Arial"/>
          <w:lang w:val="en-GB"/>
        </w:rPr>
        <w:t xml:space="preserve">afficking in </w:t>
      </w:r>
      <w:r w:rsidR="00EB6028">
        <w:rPr>
          <w:rFonts w:ascii="Arial" w:hAnsi="Arial" w:cs="Arial"/>
          <w:lang w:val="en-GB"/>
        </w:rPr>
        <w:t>P</w:t>
      </w:r>
      <w:r w:rsidRPr="005D6BE9">
        <w:rPr>
          <w:rFonts w:ascii="Arial" w:hAnsi="Arial" w:cs="Arial"/>
          <w:lang w:val="en-GB"/>
        </w:rPr>
        <w:t xml:space="preserve">ersons </w:t>
      </w:r>
      <w:r w:rsidR="00EB6028">
        <w:rPr>
          <w:rFonts w:ascii="Arial" w:hAnsi="Arial" w:cs="Arial"/>
          <w:lang w:val="en-GB"/>
        </w:rPr>
        <w:t>R</w:t>
      </w:r>
      <w:r w:rsidRPr="005D6BE9">
        <w:rPr>
          <w:rFonts w:ascii="Arial" w:hAnsi="Arial" w:cs="Arial"/>
          <w:lang w:val="en-GB"/>
        </w:rPr>
        <w:t>eports</w:t>
      </w:r>
      <w:r w:rsidR="00081341" w:rsidRPr="005D6BE9">
        <w:rPr>
          <w:rFonts w:ascii="Arial" w:hAnsi="Arial" w:cs="Arial"/>
          <w:lang w:val="en-GB"/>
        </w:rPr>
        <w:t>’</w:t>
      </w:r>
      <w:r w:rsidRPr="005D6BE9">
        <w:rPr>
          <w:rFonts w:ascii="Arial" w:hAnsi="Arial" w:cs="Arial"/>
          <w:lang w:val="en-GB"/>
        </w:rPr>
        <w:t xml:space="preserve">. </w:t>
      </w:r>
      <w:r w:rsidRPr="005D6BE9">
        <w:rPr>
          <w:rFonts w:ascii="Arial" w:hAnsi="Arial" w:cs="Arial"/>
          <w:i/>
          <w:lang w:val="en-GB"/>
        </w:rPr>
        <w:t xml:space="preserve">Crime, </w:t>
      </w:r>
      <w:r w:rsidR="00081341" w:rsidRPr="005D6BE9">
        <w:rPr>
          <w:rFonts w:ascii="Arial" w:hAnsi="Arial" w:cs="Arial"/>
          <w:i/>
          <w:lang w:val="en-GB"/>
        </w:rPr>
        <w:t>L</w:t>
      </w:r>
      <w:r w:rsidRPr="005D6BE9">
        <w:rPr>
          <w:rFonts w:ascii="Arial" w:hAnsi="Arial" w:cs="Arial"/>
          <w:i/>
          <w:lang w:val="en-GB"/>
        </w:rPr>
        <w:t xml:space="preserve">aw and </w:t>
      </w:r>
      <w:r w:rsidR="00081341" w:rsidRPr="005D6BE9">
        <w:rPr>
          <w:rFonts w:ascii="Arial" w:hAnsi="Arial" w:cs="Arial"/>
          <w:i/>
          <w:lang w:val="en-GB"/>
        </w:rPr>
        <w:t>S</w:t>
      </w:r>
      <w:r w:rsidRPr="005D6BE9">
        <w:rPr>
          <w:rFonts w:ascii="Arial" w:hAnsi="Arial" w:cs="Arial"/>
          <w:i/>
          <w:lang w:val="en-GB"/>
        </w:rPr>
        <w:t xml:space="preserve">ocial </w:t>
      </w:r>
      <w:r w:rsidR="00081341" w:rsidRPr="005D6BE9">
        <w:rPr>
          <w:rFonts w:ascii="Arial" w:hAnsi="Arial" w:cs="Arial"/>
          <w:i/>
          <w:lang w:val="en-GB"/>
        </w:rPr>
        <w:t>C</w:t>
      </w:r>
      <w:r w:rsidRPr="005D6BE9">
        <w:rPr>
          <w:rFonts w:ascii="Arial" w:hAnsi="Arial" w:cs="Arial"/>
          <w:i/>
          <w:lang w:val="en-GB"/>
        </w:rPr>
        <w:t xml:space="preserve">hange, </w:t>
      </w:r>
      <w:r w:rsidRPr="005D6BE9">
        <w:rPr>
          <w:rFonts w:ascii="Arial" w:hAnsi="Arial" w:cs="Arial"/>
          <w:iCs/>
          <w:lang w:val="en-GB"/>
        </w:rPr>
        <w:t>65</w:t>
      </w:r>
      <w:r w:rsidRPr="005D6BE9">
        <w:rPr>
          <w:rFonts w:ascii="Arial" w:hAnsi="Arial" w:cs="Arial"/>
          <w:lang w:val="en-GB"/>
        </w:rPr>
        <w:t xml:space="preserve">(1-2), 29-45. </w:t>
      </w:r>
    </w:p>
    <w:p w14:paraId="4243A96E" w14:textId="77777777" w:rsidR="00DE56E0" w:rsidRPr="005D6BE9" w:rsidRDefault="00DE56E0" w:rsidP="005D6BE9">
      <w:pPr>
        <w:spacing w:after="0" w:line="360" w:lineRule="auto"/>
        <w:jc w:val="both"/>
        <w:rPr>
          <w:rFonts w:ascii="Arial" w:hAnsi="Arial" w:cs="Arial"/>
          <w:lang w:val="en-GB"/>
        </w:rPr>
      </w:pPr>
    </w:p>
    <w:sectPr w:rsidR="00DE56E0" w:rsidRPr="005D6BE9" w:rsidSect="004E2002">
      <w:headerReference w:type="default" r:id="rId8"/>
      <w:footerReference w:type="default" r:id="rId9"/>
      <w:pgSz w:w="11906" w:h="16838"/>
      <w:pgMar w:top="1440" w:right="1440" w:bottom="1440" w:left="1440" w:header="708" w:footer="708" w:gutter="0"/>
      <w:pgNumType w:start="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977E1" w14:textId="77777777" w:rsidR="008D7004" w:rsidRDefault="008D7004" w:rsidP="00C92BC7">
      <w:pPr>
        <w:spacing w:after="0" w:line="240" w:lineRule="auto"/>
      </w:pPr>
      <w:r>
        <w:separator/>
      </w:r>
    </w:p>
  </w:endnote>
  <w:endnote w:type="continuationSeparator" w:id="0">
    <w:p w14:paraId="3D94F20E" w14:textId="77777777" w:rsidR="008D7004" w:rsidRDefault="008D7004" w:rsidP="00C92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142089"/>
      <w:docPartObj>
        <w:docPartGallery w:val="Page Numbers (Bottom of Page)"/>
        <w:docPartUnique/>
      </w:docPartObj>
    </w:sdtPr>
    <w:sdtEndPr>
      <w:rPr>
        <w:noProof/>
      </w:rPr>
    </w:sdtEndPr>
    <w:sdtContent>
      <w:p w14:paraId="7B479BC1" w14:textId="7E59F74F" w:rsidR="007A7284" w:rsidRDefault="007A72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2D90FF" w14:textId="77777777" w:rsidR="000E3004" w:rsidRDefault="000E3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E3563" w14:textId="77777777" w:rsidR="008D7004" w:rsidRDefault="008D7004" w:rsidP="00C92BC7">
      <w:pPr>
        <w:spacing w:after="0" w:line="240" w:lineRule="auto"/>
      </w:pPr>
      <w:r>
        <w:separator/>
      </w:r>
    </w:p>
  </w:footnote>
  <w:footnote w:type="continuationSeparator" w:id="0">
    <w:p w14:paraId="4F9979DB" w14:textId="77777777" w:rsidR="008D7004" w:rsidRDefault="008D7004" w:rsidP="00C92BC7">
      <w:pPr>
        <w:spacing w:after="0" w:line="240" w:lineRule="auto"/>
      </w:pPr>
      <w:r>
        <w:continuationSeparator/>
      </w:r>
    </w:p>
  </w:footnote>
  <w:footnote w:id="1">
    <w:p w14:paraId="0CEBBC1D" w14:textId="08AFC8FF" w:rsidR="00A22606" w:rsidRDefault="00A22606">
      <w:pPr>
        <w:pStyle w:val="FootnoteText"/>
        <w:rPr>
          <w:rFonts w:ascii="Arial" w:hAnsi="Arial" w:cs="Arial"/>
          <w:sz w:val="18"/>
          <w:szCs w:val="18"/>
        </w:rPr>
      </w:pPr>
      <w:r w:rsidRPr="005D6BE9">
        <w:rPr>
          <w:rStyle w:val="FootnoteReference"/>
          <w:rFonts w:ascii="Arial" w:hAnsi="Arial" w:cs="Arial"/>
          <w:sz w:val="18"/>
          <w:szCs w:val="18"/>
        </w:rPr>
        <w:footnoteRef/>
      </w:r>
      <w:r w:rsidRPr="005D6BE9">
        <w:rPr>
          <w:rFonts w:ascii="Arial" w:hAnsi="Arial" w:cs="Arial"/>
          <w:sz w:val="18"/>
          <w:szCs w:val="18"/>
        </w:rPr>
        <w:t xml:space="preserve"> </w:t>
      </w:r>
      <w:r w:rsidR="007D3D67">
        <w:rPr>
          <w:rFonts w:ascii="Arial" w:hAnsi="Arial" w:cs="Arial"/>
          <w:sz w:val="18"/>
          <w:szCs w:val="18"/>
        </w:rPr>
        <w:t>Udesha Chandrasena</w:t>
      </w:r>
      <w:r>
        <w:rPr>
          <w:rFonts w:ascii="Arial" w:hAnsi="Arial" w:cs="Arial"/>
          <w:sz w:val="18"/>
          <w:szCs w:val="18"/>
        </w:rPr>
        <w:t xml:space="preserve">. Email: </w:t>
      </w:r>
      <w:r w:rsidR="00E16FED">
        <w:rPr>
          <w:rFonts w:ascii="Arial" w:hAnsi="Arial" w:cs="Arial"/>
          <w:sz w:val="18"/>
          <w:szCs w:val="18"/>
        </w:rPr>
        <w:t>u.chandrase</w:t>
      </w:r>
      <w:r w:rsidRPr="00A22606">
        <w:rPr>
          <w:rFonts w:ascii="Arial" w:hAnsi="Arial" w:cs="Arial"/>
          <w:sz w:val="18"/>
          <w:szCs w:val="18"/>
        </w:rPr>
        <w:t>@gmail.com</w:t>
      </w:r>
    </w:p>
    <w:p w14:paraId="0F2299AD" w14:textId="04290C1A" w:rsidR="00A22606" w:rsidRPr="005D6BE9" w:rsidRDefault="00A22606">
      <w:pPr>
        <w:pStyle w:val="FootnoteText"/>
        <w:rPr>
          <w:rFonts w:ascii="Arial" w:hAnsi="Arial" w:cs="Arial"/>
          <w:sz w:val="18"/>
          <w:szCs w:val="18"/>
          <w:lang w:val="en-GB"/>
        </w:rPr>
      </w:pPr>
      <w:r>
        <w:rPr>
          <w:rFonts w:ascii="Arial" w:hAnsi="Arial" w:cs="Arial"/>
          <w:sz w:val="18"/>
          <w:szCs w:val="18"/>
        </w:rPr>
        <w:t>Citation Format:</w:t>
      </w:r>
      <w:r w:rsidR="007D3D67">
        <w:rPr>
          <w:rFonts w:ascii="Arial" w:hAnsi="Arial" w:cs="Arial"/>
          <w:sz w:val="18"/>
          <w:szCs w:val="18"/>
        </w:rPr>
        <w:t xml:space="preserve"> Chandrasena</w:t>
      </w:r>
      <w:r>
        <w:rPr>
          <w:rFonts w:ascii="Arial" w:hAnsi="Arial" w:cs="Arial"/>
          <w:sz w:val="18"/>
          <w:szCs w:val="18"/>
        </w:rPr>
        <w:t xml:space="preserve">, </w:t>
      </w:r>
      <w:r w:rsidR="007D3D67">
        <w:rPr>
          <w:rFonts w:ascii="Arial" w:hAnsi="Arial" w:cs="Arial"/>
          <w:sz w:val="18"/>
          <w:szCs w:val="18"/>
        </w:rPr>
        <w:t>U</w:t>
      </w:r>
      <w:r>
        <w:rPr>
          <w:rFonts w:ascii="Arial" w:hAnsi="Arial" w:cs="Arial"/>
          <w:sz w:val="18"/>
          <w:szCs w:val="18"/>
        </w:rPr>
        <w:t>, ‘</w:t>
      </w:r>
      <w:r w:rsidRPr="00A22606">
        <w:rPr>
          <w:rFonts w:ascii="Arial" w:hAnsi="Arial" w:cs="Arial"/>
          <w:sz w:val="18"/>
          <w:szCs w:val="18"/>
        </w:rPr>
        <w:t xml:space="preserve">Can </w:t>
      </w:r>
      <w:r>
        <w:rPr>
          <w:rFonts w:ascii="Arial" w:hAnsi="Arial" w:cs="Arial"/>
          <w:sz w:val="18"/>
          <w:szCs w:val="18"/>
        </w:rPr>
        <w:t>W</w:t>
      </w:r>
      <w:r w:rsidRPr="00A22606">
        <w:rPr>
          <w:rFonts w:ascii="Arial" w:hAnsi="Arial" w:cs="Arial"/>
          <w:sz w:val="18"/>
          <w:szCs w:val="18"/>
        </w:rPr>
        <w:t xml:space="preserve">illing </w:t>
      </w:r>
      <w:r>
        <w:rPr>
          <w:rFonts w:ascii="Arial" w:hAnsi="Arial" w:cs="Arial"/>
          <w:sz w:val="18"/>
          <w:szCs w:val="18"/>
        </w:rPr>
        <w:t>M</w:t>
      </w:r>
      <w:r w:rsidRPr="00A22606">
        <w:rPr>
          <w:rFonts w:ascii="Arial" w:hAnsi="Arial" w:cs="Arial"/>
          <w:sz w:val="18"/>
          <w:szCs w:val="18"/>
        </w:rPr>
        <w:t xml:space="preserve">igrant </w:t>
      </w:r>
      <w:r>
        <w:rPr>
          <w:rFonts w:ascii="Arial" w:hAnsi="Arial" w:cs="Arial"/>
          <w:sz w:val="18"/>
          <w:szCs w:val="18"/>
        </w:rPr>
        <w:t>S</w:t>
      </w:r>
      <w:r w:rsidRPr="00A22606">
        <w:rPr>
          <w:rFonts w:ascii="Arial" w:hAnsi="Arial" w:cs="Arial"/>
          <w:sz w:val="18"/>
          <w:szCs w:val="18"/>
        </w:rPr>
        <w:t xml:space="preserve">ex </w:t>
      </w:r>
      <w:r>
        <w:rPr>
          <w:rFonts w:ascii="Arial" w:hAnsi="Arial" w:cs="Arial"/>
          <w:sz w:val="18"/>
          <w:szCs w:val="18"/>
        </w:rPr>
        <w:t>W</w:t>
      </w:r>
      <w:r w:rsidRPr="00A22606">
        <w:rPr>
          <w:rFonts w:ascii="Arial" w:hAnsi="Arial" w:cs="Arial"/>
          <w:sz w:val="18"/>
          <w:szCs w:val="18"/>
        </w:rPr>
        <w:t xml:space="preserve">orkers be </w:t>
      </w:r>
      <w:r>
        <w:rPr>
          <w:rFonts w:ascii="Arial" w:hAnsi="Arial" w:cs="Arial"/>
          <w:sz w:val="18"/>
          <w:szCs w:val="18"/>
        </w:rPr>
        <w:t>R</w:t>
      </w:r>
      <w:r w:rsidRPr="00A22606">
        <w:rPr>
          <w:rFonts w:ascii="Arial" w:hAnsi="Arial" w:cs="Arial"/>
          <w:sz w:val="18"/>
          <w:szCs w:val="18"/>
        </w:rPr>
        <w:t xml:space="preserve">eal </w:t>
      </w:r>
      <w:r>
        <w:rPr>
          <w:rFonts w:ascii="Arial" w:hAnsi="Arial" w:cs="Arial"/>
          <w:sz w:val="18"/>
          <w:szCs w:val="18"/>
        </w:rPr>
        <w:t>V</w:t>
      </w:r>
      <w:r w:rsidRPr="00A22606">
        <w:rPr>
          <w:rFonts w:ascii="Arial" w:hAnsi="Arial" w:cs="Arial"/>
          <w:sz w:val="18"/>
          <w:szCs w:val="18"/>
        </w:rPr>
        <w:t xml:space="preserve">ictims of </w:t>
      </w:r>
      <w:r>
        <w:rPr>
          <w:rFonts w:ascii="Arial" w:hAnsi="Arial" w:cs="Arial"/>
          <w:sz w:val="18"/>
          <w:szCs w:val="18"/>
        </w:rPr>
        <w:t>H</w:t>
      </w:r>
      <w:r w:rsidRPr="00A22606">
        <w:rPr>
          <w:rFonts w:ascii="Arial" w:hAnsi="Arial" w:cs="Arial"/>
          <w:sz w:val="18"/>
          <w:szCs w:val="18"/>
        </w:rPr>
        <w:t xml:space="preserve">uman </w:t>
      </w:r>
      <w:r>
        <w:rPr>
          <w:rFonts w:ascii="Arial" w:hAnsi="Arial" w:cs="Arial"/>
          <w:sz w:val="18"/>
          <w:szCs w:val="18"/>
        </w:rPr>
        <w:t>T</w:t>
      </w:r>
      <w:r w:rsidRPr="00A22606">
        <w:rPr>
          <w:rFonts w:ascii="Arial" w:hAnsi="Arial" w:cs="Arial"/>
          <w:sz w:val="18"/>
          <w:szCs w:val="18"/>
        </w:rPr>
        <w:t xml:space="preserve">rafficking? A WPR </w:t>
      </w:r>
      <w:r>
        <w:rPr>
          <w:rFonts w:ascii="Arial" w:hAnsi="Arial" w:cs="Arial"/>
          <w:sz w:val="18"/>
          <w:szCs w:val="18"/>
        </w:rPr>
        <w:t>A</w:t>
      </w:r>
      <w:r w:rsidRPr="00A22606">
        <w:rPr>
          <w:rFonts w:ascii="Arial" w:hAnsi="Arial" w:cs="Arial"/>
          <w:sz w:val="18"/>
          <w:szCs w:val="18"/>
        </w:rPr>
        <w:t>nalysis of the Australian Modern Slavery Act Inquiry Report</w:t>
      </w:r>
      <w:r>
        <w:rPr>
          <w:rFonts w:ascii="Arial" w:hAnsi="Arial" w:cs="Arial"/>
          <w:sz w:val="18"/>
          <w:szCs w:val="18"/>
        </w:rPr>
        <w:t xml:space="preserve">’ (2022) 2 </w:t>
      </w:r>
      <w:r>
        <w:rPr>
          <w:rFonts w:ascii="Arial" w:hAnsi="Arial" w:cs="Arial"/>
          <w:i/>
          <w:iCs/>
          <w:sz w:val="18"/>
          <w:szCs w:val="18"/>
        </w:rPr>
        <w:t xml:space="preserve">International Journal of Gender, Sexuality and Law </w:t>
      </w:r>
      <w:r w:rsidR="004E2002">
        <w:rPr>
          <w:rFonts w:ascii="Arial" w:hAnsi="Arial" w:cs="Arial"/>
          <w:sz w:val="18"/>
          <w:szCs w:val="18"/>
        </w:rPr>
        <w:t>48</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0269" w14:textId="732F87F9" w:rsidR="00106D1F" w:rsidRPr="00106D1F" w:rsidRDefault="00106D1F" w:rsidP="00106D1F">
    <w:pPr>
      <w:pStyle w:val="Header"/>
      <w:rPr>
        <w:rFonts w:ascii="Calibri" w:eastAsia="Calibri" w:hAnsi="Calibri" w:cs="Calibri"/>
        <w:i/>
        <w:iCs/>
        <w:sz w:val="24"/>
        <w:szCs w:val="24"/>
        <w:lang w:val="en-GB" w:eastAsia="en-ZA"/>
      </w:rPr>
    </w:pPr>
    <w:r w:rsidRPr="00106D1F">
      <w:rPr>
        <w:rFonts w:ascii="Calibri" w:eastAsia="Calibri" w:hAnsi="Calibri" w:cs="Calibri"/>
        <w:i/>
        <w:iCs/>
        <w:sz w:val="24"/>
        <w:szCs w:val="24"/>
        <w:lang w:val="en-GB" w:eastAsia="en-ZA"/>
      </w:rPr>
      <w:t xml:space="preserve">Peer-Reviewed Article </w:t>
    </w:r>
    <w:r w:rsidRPr="00106D1F">
      <w:rPr>
        <w:rFonts w:ascii="Calibri" w:eastAsia="Calibri" w:hAnsi="Calibri" w:cs="Calibri"/>
        <w:i/>
        <w:iCs/>
        <w:sz w:val="24"/>
        <w:szCs w:val="24"/>
        <w:lang w:val="en-GB" w:eastAsia="en-ZA"/>
      </w:rPr>
      <w:tab/>
      <w:t xml:space="preserve">                                </w:t>
    </w:r>
    <w:r>
      <w:rPr>
        <w:rFonts w:ascii="Calibri" w:eastAsia="Calibri" w:hAnsi="Calibri" w:cs="Calibri"/>
        <w:i/>
        <w:iCs/>
        <w:sz w:val="24"/>
        <w:szCs w:val="24"/>
        <w:lang w:val="en-GB" w:eastAsia="en-ZA"/>
      </w:rPr>
      <w:t xml:space="preserve">  </w:t>
    </w:r>
    <w:r w:rsidRPr="00106D1F">
      <w:rPr>
        <w:rFonts w:ascii="Calibri" w:eastAsia="Calibri" w:hAnsi="Calibri" w:cs="Calibri"/>
        <w:i/>
        <w:iCs/>
        <w:sz w:val="24"/>
        <w:szCs w:val="24"/>
        <w:lang w:val="en-GB" w:eastAsia="en-ZA"/>
      </w:rPr>
      <w:t xml:space="preserve"> International Journal of Gender, Sexuality and Law</w:t>
    </w:r>
  </w:p>
  <w:p w14:paraId="12691B93" w14:textId="01CF6D09" w:rsidR="00106D1F" w:rsidRDefault="00106D1F">
    <w:pPr>
      <w:pStyle w:val="Header"/>
    </w:pPr>
  </w:p>
  <w:p w14:paraId="11D97D45" w14:textId="77777777" w:rsidR="00106D1F" w:rsidRDefault="00106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04C71"/>
    <w:multiLevelType w:val="multilevel"/>
    <w:tmpl w:val="DF7044C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315CF2"/>
    <w:multiLevelType w:val="multilevel"/>
    <w:tmpl w:val="807EE4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7FB4603A"/>
    <w:multiLevelType w:val="multilevel"/>
    <w:tmpl w:val="807EE4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57101829">
    <w:abstractNumId w:val="0"/>
  </w:num>
  <w:num w:numId="2" w16cid:durableId="579289014">
    <w:abstractNumId w:val="2"/>
  </w:num>
  <w:num w:numId="3" w16cid:durableId="1967736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A53"/>
    <w:rsid w:val="00000188"/>
    <w:rsid w:val="00001F84"/>
    <w:rsid w:val="00004CD3"/>
    <w:rsid w:val="000138BD"/>
    <w:rsid w:val="0001409C"/>
    <w:rsid w:val="000159D5"/>
    <w:rsid w:val="00015A18"/>
    <w:rsid w:val="000204D3"/>
    <w:rsid w:val="0002216E"/>
    <w:rsid w:val="00022476"/>
    <w:rsid w:val="000228F9"/>
    <w:rsid w:val="00034B71"/>
    <w:rsid w:val="00034CD3"/>
    <w:rsid w:val="0003616C"/>
    <w:rsid w:val="00041682"/>
    <w:rsid w:val="0004219A"/>
    <w:rsid w:val="00046387"/>
    <w:rsid w:val="000519A4"/>
    <w:rsid w:val="00054CB9"/>
    <w:rsid w:val="0005750F"/>
    <w:rsid w:val="00061E75"/>
    <w:rsid w:val="0006680A"/>
    <w:rsid w:val="00066CD0"/>
    <w:rsid w:val="00077B7C"/>
    <w:rsid w:val="00081341"/>
    <w:rsid w:val="00081D61"/>
    <w:rsid w:val="000862A1"/>
    <w:rsid w:val="0008707A"/>
    <w:rsid w:val="0009111D"/>
    <w:rsid w:val="00092059"/>
    <w:rsid w:val="00095AF9"/>
    <w:rsid w:val="00096169"/>
    <w:rsid w:val="00097E32"/>
    <w:rsid w:val="000A0378"/>
    <w:rsid w:val="000A5CF9"/>
    <w:rsid w:val="000B2AF4"/>
    <w:rsid w:val="000B6330"/>
    <w:rsid w:val="000B71DB"/>
    <w:rsid w:val="000B7809"/>
    <w:rsid w:val="000C064D"/>
    <w:rsid w:val="000C1CD6"/>
    <w:rsid w:val="000C4126"/>
    <w:rsid w:val="000C67E9"/>
    <w:rsid w:val="000D1265"/>
    <w:rsid w:val="000D1DF6"/>
    <w:rsid w:val="000D4A07"/>
    <w:rsid w:val="000E3004"/>
    <w:rsid w:val="000E656F"/>
    <w:rsid w:val="000E77B4"/>
    <w:rsid w:val="000F0802"/>
    <w:rsid w:val="000F5672"/>
    <w:rsid w:val="000F5BF7"/>
    <w:rsid w:val="0010104D"/>
    <w:rsid w:val="00102A53"/>
    <w:rsid w:val="00102A81"/>
    <w:rsid w:val="00102C6D"/>
    <w:rsid w:val="00105574"/>
    <w:rsid w:val="00106D1F"/>
    <w:rsid w:val="0011003E"/>
    <w:rsid w:val="00114E73"/>
    <w:rsid w:val="0011747E"/>
    <w:rsid w:val="00120205"/>
    <w:rsid w:val="00122485"/>
    <w:rsid w:val="00122AF6"/>
    <w:rsid w:val="0012608C"/>
    <w:rsid w:val="00126A31"/>
    <w:rsid w:val="00135515"/>
    <w:rsid w:val="00135BCF"/>
    <w:rsid w:val="00135E33"/>
    <w:rsid w:val="001371C0"/>
    <w:rsid w:val="001376BF"/>
    <w:rsid w:val="00140410"/>
    <w:rsid w:val="001414E9"/>
    <w:rsid w:val="00144481"/>
    <w:rsid w:val="001478E3"/>
    <w:rsid w:val="001552EB"/>
    <w:rsid w:val="001555A6"/>
    <w:rsid w:val="001560F0"/>
    <w:rsid w:val="001564AF"/>
    <w:rsid w:val="001641C9"/>
    <w:rsid w:val="00172F62"/>
    <w:rsid w:val="00174F8A"/>
    <w:rsid w:val="00176D48"/>
    <w:rsid w:val="00181345"/>
    <w:rsid w:val="00182235"/>
    <w:rsid w:val="001833EA"/>
    <w:rsid w:val="00186AAB"/>
    <w:rsid w:val="00187AFA"/>
    <w:rsid w:val="0019530C"/>
    <w:rsid w:val="00195FB0"/>
    <w:rsid w:val="001968F4"/>
    <w:rsid w:val="00196E6B"/>
    <w:rsid w:val="001A1C55"/>
    <w:rsid w:val="001A1D30"/>
    <w:rsid w:val="001A3132"/>
    <w:rsid w:val="001A5507"/>
    <w:rsid w:val="001B25C3"/>
    <w:rsid w:val="001B7DBE"/>
    <w:rsid w:val="001C0EAA"/>
    <w:rsid w:val="001C3121"/>
    <w:rsid w:val="001C61C8"/>
    <w:rsid w:val="001D2F77"/>
    <w:rsid w:val="001D34FC"/>
    <w:rsid w:val="001D4222"/>
    <w:rsid w:val="001D6410"/>
    <w:rsid w:val="001E523F"/>
    <w:rsid w:val="001E52F4"/>
    <w:rsid w:val="001E7D3C"/>
    <w:rsid w:val="001F3F2D"/>
    <w:rsid w:val="00205250"/>
    <w:rsid w:val="00205467"/>
    <w:rsid w:val="0020557D"/>
    <w:rsid w:val="00205622"/>
    <w:rsid w:val="002118EF"/>
    <w:rsid w:val="002152B6"/>
    <w:rsid w:val="0022022F"/>
    <w:rsid w:val="00220549"/>
    <w:rsid w:val="00221850"/>
    <w:rsid w:val="002231C4"/>
    <w:rsid w:val="00225CD2"/>
    <w:rsid w:val="00230167"/>
    <w:rsid w:val="0023280B"/>
    <w:rsid w:val="002335F9"/>
    <w:rsid w:val="0023375B"/>
    <w:rsid w:val="00234003"/>
    <w:rsid w:val="00235ED1"/>
    <w:rsid w:val="002418C7"/>
    <w:rsid w:val="002463B2"/>
    <w:rsid w:val="00250BFB"/>
    <w:rsid w:val="00254A25"/>
    <w:rsid w:val="00260353"/>
    <w:rsid w:val="00262B1A"/>
    <w:rsid w:val="00265184"/>
    <w:rsid w:val="002658D4"/>
    <w:rsid w:val="00273F65"/>
    <w:rsid w:val="00274D6C"/>
    <w:rsid w:val="00276523"/>
    <w:rsid w:val="0027671D"/>
    <w:rsid w:val="00277305"/>
    <w:rsid w:val="00282742"/>
    <w:rsid w:val="00282F06"/>
    <w:rsid w:val="002845DF"/>
    <w:rsid w:val="002901C7"/>
    <w:rsid w:val="002A082B"/>
    <w:rsid w:val="002A4405"/>
    <w:rsid w:val="002A637C"/>
    <w:rsid w:val="002B1B47"/>
    <w:rsid w:val="002B1BA1"/>
    <w:rsid w:val="002B324A"/>
    <w:rsid w:val="002B3A01"/>
    <w:rsid w:val="002B44D8"/>
    <w:rsid w:val="002B5C53"/>
    <w:rsid w:val="002B661A"/>
    <w:rsid w:val="002C2CC3"/>
    <w:rsid w:val="002C2E42"/>
    <w:rsid w:val="002C4D33"/>
    <w:rsid w:val="002C5A91"/>
    <w:rsid w:val="002C7C55"/>
    <w:rsid w:val="002D46F1"/>
    <w:rsid w:val="002E5D96"/>
    <w:rsid w:val="002F2EC4"/>
    <w:rsid w:val="002F41B2"/>
    <w:rsid w:val="002F4B9F"/>
    <w:rsid w:val="002F53CA"/>
    <w:rsid w:val="00300739"/>
    <w:rsid w:val="0030158E"/>
    <w:rsid w:val="00301DDC"/>
    <w:rsid w:val="00302AB4"/>
    <w:rsid w:val="00307C4E"/>
    <w:rsid w:val="0031038B"/>
    <w:rsid w:val="00311D1C"/>
    <w:rsid w:val="003159B4"/>
    <w:rsid w:val="00320E86"/>
    <w:rsid w:val="0032272E"/>
    <w:rsid w:val="003231D7"/>
    <w:rsid w:val="003307B6"/>
    <w:rsid w:val="003322F0"/>
    <w:rsid w:val="00341428"/>
    <w:rsid w:val="0034436C"/>
    <w:rsid w:val="00347886"/>
    <w:rsid w:val="00364D6A"/>
    <w:rsid w:val="00366A52"/>
    <w:rsid w:val="00371CFE"/>
    <w:rsid w:val="0037486F"/>
    <w:rsid w:val="0037520D"/>
    <w:rsid w:val="00377F1D"/>
    <w:rsid w:val="00384A0A"/>
    <w:rsid w:val="0038771F"/>
    <w:rsid w:val="00390E2B"/>
    <w:rsid w:val="00396CE3"/>
    <w:rsid w:val="003B1BFA"/>
    <w:rsid w:val="003B1E25"/>
    <w:rsid w:val="003B41EA"/>
    <w:rsid w:val="003B78B5"/>
    <w:rsid w:val="003C04DD"/>
    <w:rsid w:val="003C3338"/>
    <w:rsid w:val="003D4AB2"/>
    <w:rsid w:val="003D62FB"/>
    <w:rsid w:val="003E3582"/>
    <w:rsid w:val="003E3833"/>
    <w:rsid w:val="003F050D"/>
    <w:rsid w:val="003F1080"/>
    <w:rsid w:val="003F3C86"/>
    <w:rsid w:val="003F681E"/>
    <w:rsid w:val="003F693A"/>
    <w:rsid w:val="00400ECF"/>
    <w:rsid w:val="004020D9"/>
    <w:rsid w:val="00404C87"/>
    <w:rsid w:val="0040550D"/>
    <w:rsid w:val="00411456"/>
    <w:rsid w:val="0041309A"/>
    <w:rsid w:val="004175C9"/>
    <w:rsid w:val="0042051B"/>
    <w:rsid w:val="004367DE"/>
    <w:rsid w:val="00436BE3"/>
    <w:rsid w:val="004373A1"/>
    <w:rsid w:val="004502E1"/>
    <w:rsid w:val="00450B2F"/>
    <w:rsid w:val="00450D9A"/>
    <w:rsid w:val="0045114C"/>
    <w:rsid w:val="004548FA"/>
    <w:rsid w:val="00455947"/>
    <w:rsid w:val="004618C3"/>
    <w:rsid w:val="004658BB"/>
    <w:rsid w:val="00472214"/>
    <w:rsid w:val="004722B5"/>
    <w:rsid w:val="004722E7"/>
    <w:rsid w:val="004743F1"/>
    <w:rsid w:val="0047648A"/>
    <w:rsid w:val="00477D88"/>
    <w:rsid w:val="00480515"/>
    <w:rsid w:val="00484698"/>
    <w:rsid w:val="00486506"/>
    <w:rsid w:val="00491E9B"/>
    <w:rsid w:val="004933D0"/>
    <w:rsid w:val="004956B1"/>
    <w:rsid w:val="004961F5"/>
    <w:rsid w:val="00496B9E"/>
    <w:rsid w:val="004A47B8"/>
    <w:rsid w:val="004A5B33"/>
    <w:rsid w:val="004A7525"/>
    <w:rsid w:val="004A767A"/>
    <w:rsid w:val="004B0048"/>
    <w:rsid w:val="004B58A4"/>
    <w:rsid w:val="004C1A8F"/>
    <w:rsid w:val="004C1F97"/>
    <w:rsid w:val="004C4316"/>
    <w:rsid w:val="004D15E2"/>
    <w:rsid w:val="004D4E51"/>
    <w:rsid w:val="004E093A"/>
    <w:rsid w:val="004E103D"/>
    <w:rsid w:val="004E2002"/>
    <w:rsid w:val="004E64C0"/>
    <w:rsid w:val="004F3871"/>
    <w:rsid w:val="004F5D26"/>
    <w:rsid w:val="005065AF"/>
    <w:rsid w:val="00514664"/>
    <w:rsid w:val="00515193"/>
    <w:rsid w:val="00517616"/>
    <w:rsid w:val="005262D1"/>
    <w:rsid w:val="00527A6B"/>
    <w:rsid w:val="005319F2"/>
    <w:rsid w:val="0053324A"/>
    <w:rsid w:val="00535A5B"/>
    <w:rsid w:val="00536BD3"/>
    <w:rsid w:val="005373B2"/>
    <w:rsid w:val="005500CA"/>
    <w:rsid w:val="00555522"/>
    <w:rsid w:val="00557679"/>
    <w:rsid w:val="00562006"/>
    <w:rsid w:val="005658CD"/>
    <w:rsid w:val="00570279"/>
    <w:rsid w:val="005718D1"/>
    <w:rsid w:val="00577C4C"/>
    <w:rsid w:val="00580BF1"/>
    <w:rsid w:val="00581CEA"/>
    <w:rsid w:val="0058779A"/>
    <w:rsid w:val="0059535C"/>
    <w:rsid w:val="005A40C2"/>
    <w:rsid w:val="005A6B0B"/>
    <w:rsid w:val="005A6FB1"/>
    <w:rsid w:val="005B51D9"/>
    <w:rsid w:val="005C30D7"/>
    <w:rsid w:val="005C6388"/>
    <w:rsid w:val="005C7623"/>
    <w:rsid w:val="005D2CF0"/>
    <w:rsid w:val="005D59B2"/>
    <w:rsid w:val="005D6BE9"/>
    <w:rsid w:val="005E025B"/>
    <w:rsid w:val="005E1983"/>
    <w:rsid w:val="005E1E4A"/>
    <w:rsid w:val="005E207C"/>
    <w:rsid w:val="005E4295"/>
    <w:rsid w:val="005E660A"/>
    <w:rsid w:val="005F382D"/>
    <w:rsid w:val="005F3954"/>
    <w:rsid w:val="0060170F"/>
    <w:rsid w:val="00603C50"/>
    <w:rsid w:val="00615371"/>
    <w:rsid w:val="006156B0"/>
    <w:rsid w:val="00623B4E"/>
    <w:rsid w:val="00624E47"/>
    <w:rsid w:val="00625B95"/>
    <w:rsid w:val="00625BD3"/>
    <w:rsid w:val="00625E10"/>
    <w:rsid w:val="00630780"/>
    <w:rsid w:val="006325E4"/>
    <w:rsid w:val="00634CFB"/>
    <w:rsid w:val="006410B6"/>
    <w:rsid w:val="006455E3"/>
    <w:rsid w:val="00651384"/>
    <w:rsid w:val="00666E96"/>
    <w:rsid w:val="00667EE6"/>
    <w:rsid w:val="0067186A"/>
    <w:rsid w:val="00676302"/>
    <w:rsid w:val="006805A1"/>
    <w:rsid w:val="0068449B"/>
    <w:rsid w:val="0068515F"/>
    <w:rsid w:val="00685607"/>
    <w:rsid w:val="00692E4D"/>
    <w:rsid w:val="00693565"/>
    <w:rsid w:val="006A2ABA"/>
    <w:rsid w:val="006A3D86"/>
    <w:rsid w:val="006A64FE"/>
    <w:rsid w:val="006A7291"/>
    <w:rsid w:val="006A79F0"/>
    <w:rsid w:val="006B238F"/>
    <w:rsid w:val="006B29ED"/>
    <w:rsid w:val="006B3C7B"/>
    <w:rsid w:val="006C3409"/>
    <w:rsid w:val="006C704E"/>
    <w:rsid w:val="006D0E71"/>
    <w:rsid w:val="006D107A"/>
    <w:rsid w:val="006D3C72"/>
    <w:rsid w:val="006D42C3"/>
    <w:rsid w:val="006D42F3"/>
    <w:rsid w:val="006D5BF7"/>
    <w:rsid w:val="006D7A53"/>
    <w:rsid w:val="006E746A"/>
    <w:rsid w:val="006F018C"/>
    <w:rsid w:val="006F0F2E"/>
    <w:rsid w:val="006F302D"/>
    <w:rsid w:val="006F6354"/>
    <w:rsid w:val="006F6B46"/>
    <w:rsid w:val="00702F5A"/>
    <w:rsid w:val="00704AEE"/>
    <w:rsid w:val="00705B38"/>
    <w:rsid w:val="0071296D"/>
    <w:rsid w:val="0071570A"/>
    <w:rsid w:val="0071705B"/>
    <w:rsid w:val="00717A51"/>
    <w:rsid w:val="00722FD4"/>
    <w:rsid w:val="00723F74"/>
    <w:rsid w:val="00730B74"/>
    <w:rsid w:val="007448F3"/>
    <w:rsid w:val="00751E69"/>
    <w:rsid w:val="007616E4"/>
    <w:rsid w:val="00761DD6"/>
    <w:rsid w:val="00761E08"/>
    <w:rsid w:val="007634B0"/>
    <w:rsid w:val="00764974"/>
    <w:rsid w:val="00764D95"/>
    <w:rsid w:val="00772237"/>
    <w:rsid w:val="00781EB6"/>
    <w:rsid w:val="00784EB3"/>
    <w:rsid w:val="007876BA"/>
    <w:rsid w:val="00797451"/>
    <w:rsid w:val="007975B6"/>
    <w:rsid w:val="007A0225"/>
    <w:rsid w:val="007A4859"/>
    <w:rsid w:val="007A7284"/>
    <w:rsid w:val="007A7713"/>
    <w:rsid w:val="007B07B2"/>
    <w:rsid w:val="007B1137"/>
    <w:rsid w:val="007B2864"/>
    <w:rsid w:val="007B578C"/>
    <w:rsid w:val="007B728B"/>
    <w:rsid w:val="007C318F"/>
    <w:rsid w:val="007C39A2"/>
    <w:rsid w:val="007C5547"/>
    <w:rsid w:val="007D103A"/>
    <w:rsid w:val="007D14A6"/>
    <w:rsid w:val="007D25D0"/>
    <w:rsid w:val="007D2C19"/>
    <w:rsid w:val="007D3B61"/>
    <w:rsid w:val="007D3D67"/>
    <w:rsid w:val="007D6728"/>
    <w:rsid w:val="007E15E5"/>
    <w:rsid w:val="007E19B1"/>
    <w:rsid w:val="007F4A70"/>
    <w:rsid w:val="007F70AC"/>
    <w:rsid w:val="008043C7"/>
    <w:rsid w:val="00804B51"/>
    <w:rsid w:val="00810E13"/>
    <w:rsid w:val="008157AF"/>
    <w:rsid w:val="00816C87"/>
    <w:rsid w:val="00816F76"/>
    <w:rsid w:val="0082343B"/>
    <w:rsid w:val="0082392D"/>
    <w:rsid w:val="00824854"/>
    <w:rsid w:val="00824ED3"/>
    <w:rsid w:val="00832FB6"/>
    <w:rsid w:val="008369CE"/>
    <w:rsid w:val="00850349"/>
    <w:rsid w:val="008541C7"/>
    <w:rsid w:val="008608C4"/>
    <w:rsid w:val="0086495D"/>
    <w:rsid w:val="00865187"/>
    <w:rsid w:val="00866378"/>
    <w:rsid w:val="00870B36"/>
    <w:rsid w:val="0087712A"/>
    <w:rsid w:val="008778EF"/>
    <w:rsid w:val="00877D67"/>
    <w:rsid w:val="008858CB"/>
    <w:rsid w:val="00887988"/>
    <w:rsid w:val="00887B3D"/>
    <w:rsid w:val="0089301A"/>
    <w:rsid w:val="00895135"/>
    <w:rsid w:val="00895557"/>
    <w:rsid w:val="00895BD5"/>
    <w:rsid w:val="00896BDA"/>
    <w:rsid w:val="008A221C"/>
    <w:rsid w:val="008A2DEB"/>
    <w:rsid w:val="008A40FC"/>
    <w:rsid w:val="008A424B"/>
    <w:rsid w:val="008A771E"/>
    <w:rsid w:val="008B23E2"/>
    <w:rsid w:val="008B7096"/>
    <w:rsid w:val="008C4A34"/>
    <w:rsid w:val="008D31E4"/>
    <w:rsid w:val="008D3CE1"/>
    <w:rsid w:val="008D7004"/>
    <w:rsid w:val="008E0136"/>
    <w:rsid w:val="008E11CC"/>
    <w:rsid w:val="008E28BA"/>
    <w:rsid w:val="008F3F2D"/>
    <w:rsid w:val="008F49F2"/>
    <w:rsid w:val="00903769"/>
    <w:rsid w:val="009051E5"/>
    <w:rsid w:val="00905A25"/>
    <w:rsid w:val="00906A80"/>
    <w:rsid w:val="00912424"/>
    <w:rsid w:val="0091285E"/>
    <w:rsid w:val="00917091"/>
    <w:rsid w:val="00920EEA"/>
    <w:rsid w:val="00923C55"/>
    <w:rsid w:val="00932DC9"/>
    <w:rsid w:val="0093457F"/>
    <w:rsid w:val="00934EC4"/>
    <w:rsid w:val="00936C05"/>
    <w:rsid w:val="009376AF"/>
    <w:rsid w:val="00940320"/>
    <w:rsid w:val="009479F5"/>
    <w:rsid w:val="009520C5"/>
    <w:rsid w:val="00963EC0"/>
    <w:rsid w:val="009647B0"/>
    <w:rsid w:val="00967F97"/>
    <w:rsid w:val="0097390B"/>
    <w:rsid w:val="00975B42"/>
    <w:rsid w:val="0098552E"/>
    <w:rsid w:val="00990534"/>
    <w:rsid w:val="00993B41"/>
    <w:rsid w:val="0099499D"/>
    <w:rsid w:val="009A0482"/>
    <w:rsid w:val="009A1B65"/>
    <w:rsid w:val="009A618A"/>
    <w:rsid w:val="009A7E63"/>
    <w:rsid w:val="009B25E6"/>
    <w:rsid w:val="009B2B7A"/>
    <w:rsid w:val="009B3F9D"/>
    <w:rsid w:val="009B402A"/>
    <w:rsid w:val="009C107B"/>
    <w:rsid w:val="009C22AE"/>
    <w:rsid w:val="009C2ADB"/>
    <w:rsid w:val="009C44E8"/>
    <w:rsid w:val="009C6B43"/>
    <w:rsid w:val="009C7D8C"/>
    <w:rsid w:val="009D3874"/>
    <w:rsid w:val="009D598E"/>
    <w:rsid w:val="009E091F"/>
    <w:rsid w:val="009E263F"/>
    <w:rsid w:val="009E3EB0"/>
    <w:rsid w:val="009E644B"/>
    <w:rsid w:val="009F1211"/>
    <w:rsid w:val="009F14A0"/>
    <w:rsid w:val="009F478B"/>
    <w:rsid w:val="009F67CD"/>
    <w:rsid w:val="009F6865"/>
    <w:rsid w:val="009F786E"/>
    <w:rsid w:val="00A009A2"/>
    <w:rsid w:val="00A05824"/>
    <w:rsid w:val="00A063B0"/>
    <w:rsid w:val="00A108CE"/>
    <w:rsid w:val="00A10E5A"/>
    <w:rsid w:val="00A15EE5"/>
    <w:rsid w:val="00A206AF"/>
    <w:rsid w:val="00A20F01"/>
    <w:rsid w:val="00A21C06"/>
    <w:rsid w:val="00A22606"/>
    <w:rsid w:val="00A22D2D"/>
    <w:rsid w:val="00A22D53"/>
    <w:rsid w:val="00A22F81"/>
    <w:rsid w:val="00A34542"/>
    <w:rsid w:val="00A42790"/>
    <w:rsid w:val="00A45DEA"/>
    <w:rsid w:val="00A475CE"/>
    <w:rsid w:val="00A529F5"/>
    <w:rsid w:val="00A53B77"/>
    <w:rsid w:val="00A617EA"/>
    <w:rsid w:val="00A711AD"/>
    <w:rsid w:val="00A71F03"/>
    <w:rsid w:val="00A81108"/>
    <w:rsid w:val="00A84E20"/>
    <w:rsid w:val="00A86EC1"/>
    <w:rsid w:val="00A96E58"/>
    <w:rsid w:val="00AA17D8"/>
    <w:rsid w:val="00AA1D86"/>
    <w:rsid w:val="00AA39F5"/>
    <w:rsid w:val="00AA4404"/>
    <w:rsid w:val="00AB40C1"/>
    <w:rsid w:val="00AB767B"/>
    <w:rsid w:val="00AB78D6"/>
    <w:rsid w:val="00AB7C4A"/>
    <w:rsid w:val="00AC0A87"/>
    <w:rsid w:val="00AC48E6"/>
    <w:rsid w:val="00AD2B1B"/>
    <w:rsid w:val="00AD2C16"/>
    <w:rsid w:val="00AD3D1A"/>
    <w:rsid w:val="00AD441B"/>
    <w:rsid w:val="00AD45F7"/>
    <w:rsid w:val="00AD69AA"/>
    <w:rsid w:val="00AE184E"/>
    <w:rsid w:val="00AE2470"/>
    <w:rsid w:val="00AE2B01"/>
    <w:rsid w:val="00AE7903"/>
    <w:rsid w:val="00AF1A7B"/>
    <w:rsid w:val="00AF5405"/>
    <w:rsid w:val="00AF78E1"/>
    <w:rsid w:val="00B071C4"/>
    <w:rsid w:val="00B17EFC"/>
    <w:rsid w:val="00B232D8"/>
    <w:rsid w:val="00B233F7"/>
    <w:rsid w:val="00B235A9"/>
    <w:rsid w:val="00B25E4B"/>
    <w:rsid w:val="00B30B82"/>
    <w:rsid w:val="00B32C0F"/>
    <w:rsid w:val="00B37E09"/>
    <w:rsid w:val="00B37E4A"/>
    <w:rsid w:val="00B40E77"/>
    <w:rsid w:val="00B47487"/>
    <w:rsid w:val="00B47E0C"/>
    <w:rsid w:val="00B523C9"/>
    <w:rsid w:val="00B6168E"/>
    <w:rsid w:val="00B637EF"/>
    <w:rsid w:val="00B73231"/>
    <w:rsid w:val="00B736DE"/>
    <w:rsid w:val="00B747D2"/>
    <w:rsid w:val="00B77F36"/>
    <w:rsid w:val="00B8283F"/>
    <w:rsid w:val="00B82C2A"/>
    <w:rsid w:val="00B8476A"/>
    <w:rsid w:val="00B847DF"/>
    <w:rsid w:val="00B85589"/>
    <w:rsid w:val="00B85F14"/>
    <w:rsid w:val="00B8762C"/>
    <w:rsid w:val="00B90B9D"/>
    <w:rsid w:val="00B9589F"/>
    <w:rsid w:val="00BA248D"/>
    <w:rsid w:val="00BA3D60"/>
    <w:rsid w:val="00BA66FA"/>
    <w:rsid w:val="00BB1701"/>
    <w:rsid w:val="00BB5074"/>
    <w:rsid w:val="00BC057E"/>
    <w:rsid w:val="00BC1178"/>
    <w:rsid w:val="00BC14D7"/>
    <w:rsid w:val="00BC14E4"/>
    <w:rsid w:val="00BC2AF4"/>
    <w:rsid w:val="00BC39D2"/>
    <w:rsid w:val="00BC74EC"/>
    <w:rsid w:val="00BD4AA5"/>
    <w:rsid w:val="00C0681F"/>
    <w:rsid w:val="00C07467"/>
    <w:rsid w:val="00C10D10"/>
    <w:rsid w:val="00C1147C"/>
    <w:rsid w:val="00C1644E"/>
    <w:rsid w:val="00C16B4B"/>
    <w:rsid w:val="00C175D6"/>
    <w:rsid w:val="00C179FC"/>
    <w:rsid w:val="00C17A98"/>
    <w:rsid w:val="00C226B5"/>
    <w:rsid w:val="00C420F0"/>
    <w:rsid w:val="00C4782F"/>
    <w:rsid w:val="00C51538"/>
    <w:rsid w:val="00C51701"/>
    <w:rsid w:val="00C63BA4"/>
    <w:rsid w:val="00C71EE4"/>
    <w:rsid w:val="00C73450"/>
    <w:rsid w:val="00C8388E"/>
    <w:rsid w:val="00C85CB5"/>
    <w:rsid w:val="00C868C3"/>
    <w:rsid w:val="00C86911"/>
    <w:rsid w:val="00C92BC7"/>
    <w:rsid w:val="00C94350"/>
    <w:rsid w:val="00C97725"/>
    <w:rsid w:val="00CA1359"/>
    <w:rsid w:val="00CA1B56"/>
    <w:rsid w:val="00CA7946"/>
    <w:rsid w:val="00CB1BE5"/>
    <w:rsid w:val="00CC31D6"/>
    <w:rsid w:val="00CC49A2"/>
    <w:rsid w:val="00CC56D7"/>
    <w:rsid w:val="00CC7074"/>
    <w:rsid w:val="00CD0094"/>
    <w:rsid w:val="00CD6289"/>
    <w:rsid w:val="00CD6E55"/>
    <w:rsid w:val="00CE1B55"/>
    <w:rsid w:val="00CE4AA9"/>
    <w:rsid w:val="00CE5BCE"/>
    <w:rsid w:val="00CE615E"/>
    <w:rsid w:val="00CF11E6"/>
    <w:rsid w:val="00CF40F9"/>
    <w:rsid w:val="00CF4701"/>
    <w:rsid w:val="00D00288"/>
    <w:rsid w:val="00D01FAB"/>
    <w:rsid w:val="00D02DA5"/>
    <w:rsid w:val="00D0361D"/>
    <w:rsid w:val="00D05265"/>
    <w:rsid w:val="00D1210B"/>
    <w:rsid w:val="00D1783F"/>
    <w:rsid w:val="00D23EE8"/>
    <w:rsid w:val="00D25216"/>
    <w:rsid w:val="00D25728"/>
    <w:rsid w:val="00D320B9"/>
    <w:rsid w:val="00D32F28"/>
    <w:rsid w:val="00D33DFC"/>
    <w:rsid w:val="00D340B6"/>
    <w:rsid w:val="00D346CA"/>
    <w:rsid w:val="00D34E36"/>
    <w:rsid w:val="00D37C9A"/>
    <w:rsid w:val="00D42124"/>
    <w:rsid w:val="00D4438E"/>
    <w:rsid w:val="00D447F7"/>
    <w:rsid w:val="00D46538"/>
    <w:rsid w:val="00D510BC"/>
    <w:rsid w:val="00D51963"/>
    <w:rsid w:val="00D542EA"/>
    <w:rsid w:val="00D57928"/>
    <w:rsid w:val="00D64199"/>
    <w:rsid w:val="00D67357"/>
    <w:rsid w:val="00D766F6"/>
    <w:rsid w:val="00D82C48"/>
    <w:rsid w:val="00D85ADA"/>
    <w:rsid w:val="00D860C4"/>
    <w:rsid w:val="00D871F5"/>
    <w:rsid w:val="00D91AF2"/>
    <w:rsid w:val="00D92085"/>
    <w:rsid w:val="00D92120"/>
    <w:rsid w:val="00D94E74"/>
    <w:rsid w:val="00DC099D"/>
    <w:rsid w:val="00DC2A8B"/>
    <w:rsid w:val="00DC53B9"/>
    <w:rsid w:val="00DD78BB"/>
    <w:rsid w:val="00DE0D4A"/>
    <w:rsid w:val="00DE0E42"/>
    <w:rsid w:val="00DE13FC"/>
    <w:rsid w:val="00DE4CE7"/>
    <w:rsid w:val="00DE56E0"/>
    <w:rsid w:val="00DE5D90"/>
    <w:rsid w:val="00DE7004"/>
    <w:rsid w:val="00DF1AC3"/>
    <w:rsid w:val="00DF2AD6"/>
    <w:rsid w:val="00DF3F9E"/>
    <w:rsid w:val="00DF7C18"/>
    <w:rsid w:val="00E01BF1"/>
    <w:rsid w:val="00E03D4A"/>
    <w:rsid w:val="00E03F2C"/>
    <w:rsid w:val="00E0561F"/>
    <w:rsid w:val="00E07620"/>
    <w:rsid w:val="00E12051"/>
    <w:rsid w:val="00E16FED"/>
    <w:rsid w:val="00E22466"/>
    <w:rsid w:val="00E2659A"/>
    <w:rsid w:val="00E2721B"/>
    <w:rsid w:val="00E31559"/>
    <w:rsid w:val="00E31B8D"/>
    <w:rsid w:val="00E31D85"/>
    <w:rsid w:val="00E35CC7"/>
    <w:rsid w:val="00E40E85"/>
    <w:rsid w:val="00E45E7E"/>
    <w:rsid w:val="00E6322F"/>
    <w:rsid w:val="00E665DE"/>
    <w:rsid w:val="00E70411"/>
    <w:rsid w:val="00E855C1"/>
    <w:rsid w:val="00E8617E"/>
    <w:rsid w:val="00E909D6"/>
    <w:rsid w:val="00E92ADB"/>
    <w:rsid w:val="00E92FC0"/>
    <w:rsid w:val="00E97532"/>
    <w:rsid w:val="00EA45C0"/>
    <w:rsid w:val="00EA4D37"/>
    <w:rsid w:val="00EA55DD"/>
    <w:rsid w:val="00EA5FA6"/>
    <w:rsid w:val="00EB2EA6"/>
    <w:rsid w:val="00EB5A33"/>
    <w:rsid w:val="00EB6028"/>
    <w:rsid w:val="00EC0918"/>
    <w:rsid w:val="00ED048A"/>
    <w:rsid w:val="00ED0A03"/>
    <w:rsid w:val="00ED4D96"/>
    <w:rsid w:val="00ED73BE"/>
    <w:rsid w:val="00EE1266"/>
    <w:rsid w:val="00EE33AA"/>
    <w:rsid w:val="00EE363B"/>
    <w:rsid w:val="00EE4DF3"/>
    <w:rsid w:val="00EF0E1A"/>
    <w:rsid w:val="00EF3B0C"/>
    <w:rsid w:val="00EF474C"/>
    <w:rsid w:val="00EF686A"/>
    <w:rsid w:val="00F034A8"/>
    <w:rsid w:val="00F040AE"/>
    <w:rsid w:val="00F11580"/>
    <w:rsid w:val="00F21403"/>
    <w:rsid w:val="00F25B86"/>
    <w:rsid w:val="00F347EA"/>
    <w:rsid w:val="00F437C4"/>
    <w:rsid w:val="00F52B50"/>
    <w:rsid w:val="00F52EB9"/>
    <w:rsid w:val="00F53D7F"/>
    <w:rsid w:val="00F57D61"/>
    <w:rsid w:val="00F60E93"/>
    <w:rsid w:val="00F63EE3"/>
    <w:rsid w:val="00F67344"/>
    <w:rsid w:val="00F70AD0"/>
    <w:rsid w:val="00F729EC"/>
    <w:rsid w:val="00F751FB"/>
    <w:rsid w:val="00F7624D"/>
    <w:rsid w:val="00F76DB7"/>
    <w:rsid w:val="00F81CAB"/>
    <w:rsid w:val="00F84398"/>
    <w:rsid w:val="00F86960"/>
    <w:rsid w:val="00F90222"/>
    <w:rsid w:val="00F9319D"/>
    <w:rsid w:val="00F93C1D"/>
    <w:rsid w:val="00F943D3"/>
    <w:rsid w:val="00FA1C84"/>
    <w:rsid w:val="00FA28D9"/>
    <w:rsid w:val="00FA4974"/>
    <w:rsid w:val="00FB3716"/>
    <w:rsid w:val="00FB3F1A"/>
    <w:rsid w:val="00FB6B39"/>
    <w:rsid w:val="00FC0F75"/>
    <w:rsid w:val="00FC1354"/>
    <w:rsid w:val="00FC19D5"/>
    <w:rsid w:val="00FC33F0"/>
    <w:rsid w:val="00FC7D70"/>
    <w:rsid w:val="00FD0AFF"/>
    <w:rsid w:val="00FD2584"/>
    <w:rsid w:val="00FD3C46"/>
    <w:rsid w:val="00FE0497"/>
    <w:rsid w:val="00FE04FE"/>
    <w:rsid w:val="00FE2E96"/>
    <w:rsid w:val="00FE6BAF"/>
    <w:rsid w:val="00FF3AF6"/>
    <w:rsid w:val="00FF3C58"/>
    <w:rsid w:val="00FF49D4"/>
    <w:rsid w:val="00FF5D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258DC"/>
  <w15:chartTrackingRefBased/>
  <w15:docId w15:val="{B5C8C5ED-E1E0-4E13-888A-BC06837D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78D6"/>
    <w:rPr>
      <w:sz w:val="16"/>
      <w:szCs w:val="16"/>
    </w:rPr>
  </w:style>
  <w:style w:type="paragraph" w:styleId="CommentText">
    <w:name w:val="annotation text"/>
    <w:basedOn w:val="Normal"/>
    <w:link w:val="CommentTextChar"/>
    <w:uiPriority w:val="99"/>
    <w:semiHidden/>
    <w:unhideWhenUsed/>
    <w:rsid w:val="00AB78D6"/>
    <w:pPr>
      <w:spacing w:line="240" w:lineRule="auto"/>
    </w:pPr>
    <w:rPr>
      <w:sz w:val="20"/>
      <w:szCs w:val="20"/>
    </w:rPr>
  </w:style>
  <w:style w:type="character" w:customStyle="1" w:styleId="CommentTextChar">
    <w:name w:val="Comment Text Char"/>
    <w:basedOn w:val="DefaultParagraphFont"/>
    <w:link w:val="CommentText"/>
    <w:uiPriority w:val="99"/>
    <w:semiHidden/>
    <w:rsid w:val="00AB78D6"/>
    <w:rPr>
      <w:sz w:val="20"/>
      <w:szCs w:val="20"/>
    </w:rPr>
  </w:style>
  <w:style w:type="paragraph" w:styleId="CommentSubject">
    <w:name w:val="annotation subject"/>
    <w:basedOn w:val="CommentText"/>
    <w:next w:val="CommentText"/>
    <w:link w:val="CommentSubjectChar"/>
    <w:uiPriority w:val="99"/>
    <w:semiHidden/>
    <w:unhideWhenUsed/>
    <w:rsid w:val="00AB78D6"/>
    <w:rPr>
      <w:b/>
      <w:bCs/>
    </w:rPr>
  </w:style>
  <w:style w:type="character" w:customStyle="1" w:styleId="CommentSubjectChar">
    <w:name w:val="Comment Subject Char"/>
    <w:basedOn w:val="CommentTextChar"/>
    <w:link w:val="CommentSubject"/>
    <w:uiPriority w:val="99"/>
    <w:semiHidden/>
    <w:rsid w:val="00AB78D6"/>
    <w:rPr>
      <w:b/>
      <w:bCs/>
      <w:sz w:val="20"/>
      <w:szCs w:val="20"/>
    </w:rPr>
  </w:style>
  <w:style w:type="character" w:styleId="Hyperlink">
    <w:name w:val="Hyperlink"/>
    <w:basedOn w:val="DefaultParagraphFont"/>
    <w:uiPriority w:val="99"/>
    <w:unhideWhenUsed/>
    <w:rsid w:val="00DE56E0"/>
    <w:rPr>
      <w:color w:val="0563C1" w:themeColor="hyperlink"/>
      <w:u w:val="single"/>
    </w:rPr>
  </w:style>
  <w:style w:type="paragraph" w:customStyle="1" w:styleId="EndNoteBibliography">
    <w:name w:val="EndNote Bibliography"/>
    <w:basedOn w:val="Normal"/>
    <w:link w:val="EndNoteBibliographyChar"/>
    <w:rsid w:val="00DE56E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E56E0"/>
    <w:rPr>
      <w:rFonts w:ascii="Calibri" w:hAnsi="Calibri" w:cs="Calibri"/>
      <w:noProof/>
      <w:lang w:val="en-US"/>
    </w:rPr>
  </w:style>
  <w:style w:type="character" w:styleId="UnresolvedMention">
    <w:name w:val="Unresolved Mention"/>
    <w:basedOn w:val="DefaultParagraphFont"/>
    <w:uiPriority w:val="99"/>
    <w:semiHidden/>
    <w:unhideWhenUsed/>
    <w:rsid w:val="001A5507"/>
    <w:rPr>
      <w:color w:val="605E5C"/>
      <w:shd w:val="clear" w:color="auto" w:fill="E1DFDD"/>
    </w:rPr>
  </w:style>
  <w:style w:type="paragraph" w:styleId="Header">
    <w:name w:val="header"/>
    <w:basedOn w:val="Normal"/>
    <w:link w:val="HeaderChar"/>
    <w:uiPriority w:val="99"/>
    <w:unhideWhenUsed/>
    <w:rsid w:val="008503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349"/>
  </w:style>
  <w:style w:type="paragraph" w:styleId="Footer">
    <w:name w:val="footer"/>
    <w:basedOn w:val="Normal"/>
    <w:link w:val="FooterChar"/>
    <w:uiPriority w:val="99"/>
    <w:unhideWhenUsed/>
    <w:rsid w:val="008503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349"/>
  </w:style>
  <w:style w:type="paragraph" w:styleId="Revision">
    <w:name w:val="Revision"/>
    <w:hidden/>
    <w:uiPriority w:val="99"/>
    <w:semiHidden/>
    <w:rsid w:val="00135E33"/>
    <w:pPr>
      <w:spacing w:after="0" w:line="240" w:lineRule="auto"/>
    </w:pPr>
  </w:style>
  <w:style w:type="paragraph" w:styleId="ListParagraph">
    <w:name w:val="List Paragraph"/>
    <w:basedOn w:val="Normal"/>
    <w:uiPriority w:val="34"/>
    <w:qFormat/>
    <w:rsid w:val="004C1A8F"/>
    <w:pPr>
      <w:ind w:left="720"/>
      <w:contextualSpacing/>
    </w:pPr>
  </w:style>
  <w:style w:type="paragraph" w:styleId="FootnoteText">
    <w:name w:val="footnote text"/>
    <w:basedOn w:val="Normal"/>
    <w:link w:val="FootnoteTextChar"/>
    <w:uiPriority w:val="99"/>
    <w:semiHidden/>
    <w:unhideWhenUsed/>
    <w:rsid w:val="00A226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2606"/>
    <w:rPr>
      <w:sz w:val="20"/>
      <w:szCs w:val="20"/>
    </w:rPr>
  </w:style>
  <w:style w:type="character" w:styleId="FootnoteReference">
    <w:name w:val="footnote reference"/>
    <w:basedOn w:val="DefaultParagraphFont"/>
    <w:uiPriority w:val="99"/>
    <w:semiHidden/>
    <w:unhideWhenUsed/>
    <w:rsid w:val="00A22606"/>
    <w:rPr>
      <w:vertAlign w:val="superscript"/>
    </w:rPr>
  </w:style>
  <w:style w:type="character" w:styleId="FollowedHyperlink">
    <w:name w:val="FollowedHyperlink"/>
    <w:basedOn w:val="DefaultParagraphFont"/>
    <w:uiPriority w:val="99"/>
    <w:semiHidden/>
    <w:unhideWhenUsed/>
    <w:rsid w:val="00702F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E9AB3D9-5718-4751-831E-E6DAEB3C0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9169</Words>
  <Characters>52267</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 Chandrasena</dc:creator>
  <cp:keywords/>
  <dc:description/>
  <cp:lastModifiedBy>laura Graham</cp:lastModifiedBy>
  <cp:revision>2</cp:revision>
  <dcterms:created xsi:type="dcterms:W3CDTF">2022-07-06T09:55:00Z</dcterms:created>
  <dcterms:modified xsi:type="dcterms:W3CDTF">2022-07-06T09:55:00Z</dcterms:modified>
</cp:coreProperties>
</file>