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7952F" w14:textId="77777777" w:rsidR="00043D52" w:rsidRPr="00043D52" w:rsidRDefault="00043D52" w:rsidP="00043D52">
      <w:pPr>
        <w:spacing w:line="480" w:lineRule="auto"/>
        <w:jc w:val="both"/>
        <w:rPr>
          <w:rFonts w:ascii="Palatino Linotype" w:hAnsi="Palatino Linotype"/>
          <w:b/>
          <w:i/>
        </w:rPr>
      </w:pPr>
      <w:r w:rsidRPr="00043D52">
        <w:rPr>
          <w:rFonts w:ascii="Palatino Linotype" w:hAnsi="Palatino Linotype"/>
          <w:b/>
          <w:i/>
        </w:rPr>
        <w:t>Reviewed Article: Teaching and Learning in Clinic</w:t>
      </w:r>
    </w:p>
    <w:p w14:paraId="110EBE36" w14:textId="350A17E4" w:rsidR="00F8734D" w:rsidRPr="00043D52" w:rsidRDefault="004C3080" w:rsidP="00043D52">
      <w:pPr>
        <w:spacing w:line="480" w:lineRule="auto"/>
        <w:jc w:val="both"/>
        <w:rPr>
          <w:rFonts w:ascii="Palatino Linotype" w:hAnsi="Palatino Linotype" w:cs="Times New Roman"/>
          <w:b/>
          <w:sz w:val="28"/>
        </w:rPr>
      </w:pPr>
      <w:r w:rsidRPr="00043D52">
        <w:rPr>
          <w:rFonts w:ascii="Palatino Linotype" w:hAnsi="Palatino Linotype" w:cs="Times New Roman"/>
          <w:b/>
          <w:sz w:val="28"/>
        </w:rPr>
        <w:t>Community Projects: Extending the Community Lawyering Model</w:t>
      </w:r>
    </w:p>
    <w:p w14:paraId="0DA46FA1" w14:textId="5EFADD41" w:rsidR="00043D52" w:rsidRPr="00043D52" w:rsidRDefault="003E738E" w:rsidP="0091111C">
      <w:pPr>
        <w:spacing w:line="480" w:lineRule="auto"/>
        <w:jc w:val="both"/>
        <w:rPr>
          <w:rFonts w:ascii="Palatino Linotype" w:hAnsi="Palatino Linotype" w:cs="Times New Roman"/>
          <w:b/>
        </w:rPr>
      </w:pPr>
      <w:r w:rsidRPr="00043D52">
        <w:rPr>
          <w:rFonts w:ascii="Palatino Linotype" w:hAnsi="Palatino Linotype" w:cs="Times New Roman"/>
          <w:b/>
        </w:rPr>
        <w:t>Judith McNamara</w:t>
      </w:r>
      <w:r w:rsidR="00043D52" w:rsidRPr="00043D52">
        <w:rPr>
          <w:rStyle w:val="FootnoteReference"/>
          <w:rFonts w:ascii="Palatino Linotype" w:hAnsi="Palatino Linotype" w:cs="Times New Roman"/>
          <w:b/>
        </w:rPr>
        <w:footnoteReference w:id="1"/>
      </w:r>
      <w:r w:rsidRPr="00043D52">
        <w:rPr>
          <w:rFonts w:ascii="Palatino Linotype" w:hAnsi="Palatino Linotype" w:cs="Times New Roman"/>
          <w:b/>
        </w:rPr>
        <w:t xml:space="preserve"> </w:t>
      </w:r>
      <w:r w:rsidR="00043D52" w:rsidRPr="00043D52">
        <w:rPr>
          <w:rFonts w:ascii="Palatino Linotype" w:hAnsi="Palatino Linotype" w:cs="Times New Roman"/>
          <w:b/>
        </w:rPr>
        <w:t>Catherine Campbell</w:t>
      </w:r>
      <w:r w:rsidR="00043D52" w:rsidRPr="00043D52">
        <w:rPr>
          <w:rStyle w:val="FootnoteReference"/>
          <w:rFonts w:ascii="Palatino Linotype" w:hAnsi="Palatino Linotype" w:cs="Times New Roman"/>
          <w:b/>
        </w:rPr>
        <w:footnoteReference w:id="2"/>
      </w:r>
      <w:r w:rsidR="00043D52" w:rsidRPr="00043D52">
        <w:rPr>
          <w:rFonts w:ascii="Palatino Linotype" w:hAnsi="Palatino Linotype" w:cs="Times New Roman"/>
          <w:b/>
        </w:rPr>
        <w:t xml:space="preserve"> and Evan Hamman</w:t>
      </w:r>
      <w:r w:rsidR="00043D52" w:rsidRPr="00043D52">
        <w:rPr>
          <w:rStyle w:val="FootnoteReference"/>
          <w:rFonts w:ascii="Palatino Linotype" w:hAnsi="Palatino Linotype" w:cs="Times New Roman"/>
          <w:b/>
        </w:rPr>
        <w:footnoteReference w:id="3"/>
      </w:r>
    </w:p>
    <w:p w14:paraId="5A4656AC" w14:textId="6342C293" w:rsidR="00043D52" w:rsidRPr="00DC4B8B" w:rsidRDefault="00043D52" w:rsidP="00043D52">
      <w:pPr>
        <w:spacing w:line="480" w:lineRule="auto"/>
        <w:jc w:val="both"/>
        <w:rPr>
          <w:rFonts w:ascii="Palatino Linotype" w:hAnsi="Palatino Linotype"/>
          <w:b/>
        </w:rPr>
      </w:pPr>
      <w:r>
        <w:rPr>
          <w:rFonts w:ascii="Palatino Linotype" w:hAnsi="Palatino Linotype"/>
          <w:b/>
        </w:rPr>
        <w:t>Queensland University</w:t>
      </w:r>
      <w:r w:rsidR="008E1571">
        <w:rPr>
          <w:rFonts w:ascii="Palatino Linotype" w:hAnsi="Palatino Linotype"/>
          <w:b/>
        </w:rPr>
        <w:t xml:space="preserve"> of Technology</w:t>
      </w:r>
      <w:bookmarkStart w:id="0" w:name="_GoBack"/>
      <w:bookmarkEnd w:id="0"/>
      <w:r>
        <w:rPr>
          <w:rFonts w:ascii="Palatino Linotype" w:hAnsi="Palatino Linotype"/>
          <w:b/>
        </w:rPr>
        <w:t>, Australia</w:t>
      </w:r>
    </w:p>
    <w:p w14:paraId="06E3D828" w14:textId="0511E00F" w:rsidR="003E738E" w:rsidRPr="00043D52" w:rsidRDefault="00487C26" w:rsidP="0091111C">
      <w:pPr>
        <w:spacing w:line="480" w:lineRule="auto"/>
        <w:jc w:val="both"/>
        <w:rPr>
          <w:rFonts w:ascii="Palatino Linotype" w:hAnsi="Palatino Linotype" w:cs="Times New Roman"/>
        </w:rPr>
      </w:pPr>
      <w:hyperlink r:id="rId9" w:history="1">
        <w:r w:rsidR="00043D52" w:rsidRPr="00264E5B">
          <w:rPr>
            <w:rStyle w:val="Hyperlink"/>
            <w:rFonts w:ascii="Palatino Linotype" w:hAnsi="Palatino Linotype" w:cs="Times New Roman"/>
          </w:rPr>
          <w:t>j2.mcnamara@qut.edu.au</w:t>
        </w:r>
      </w:hyperlink>
      <w:r w:rsidR="00043D52">
        <w:rPr>
          <w:rFonts w:ascii="Palatino Linotype" w:hAnsi="Palatino Linotype" w:cs="Times New Roman"/>
        </w:rPr>
        <w:t xml:space="preserve"> </w:t>
      </w:r>
    </w:p>
    <w:p w14:paraId="4B249FA2" w14:textId="77777777" w:rsidR="005459C3" w:rsidRDefault="005459C3" w:rsidP="0091111C">
      <w:pPr>
        <w:spacing w:line="480" w:lineRule="auto"/>
        <w:contextualSpacing/>
        <w:jc w:val="both"/>
        <w:rPr>
          <w:rFonts w:ascii="Palatino Linotype" w:hAnsi="Palatino Linotype" w:cs="Times New Roman"/>
        </w:rPr>
      </w:pPr>
    </w:p>
    <w:p w14:paraId="4AAD6F35" w14:textId="09484510" w:rsidR="00054427" w:rsidRDefault="005459C3" w:rsidP="0091111C">
      <w:pPr>
        <w:spacing w:line="480" w:lineRule="auto"/>
        <w:contextualSpacing/>
        <w:jc w:val="both"/>
        <w:rPr>
          <w:rFonts w:ascii="Palatino Linotype" w:hAnsi="Palatino Linotype" w:cs="Times New Roman"/>
        </w:rPr>
      </w:pPr>
      <w:r w:rsidRPr="005459C3">
        <w:rPr>
          <w:rFonts w:ascii="Palatino Linotype" w:hAnsi="Palatino Linotype" w:cs="Times New Roman"/>
        </w:rPr>
        <w:t>PART I INTRODUCTION</w:t>
      </w:r>
    </w:p>
    <w:p w14:paraId="0E774265" w14:textId="77777777" w:rsidR="005459C3" w:rsidRPr="005459C3" w:rsidRDefault="005459C3" w:rsidP="0091111C">
      <w:pPr>
        <w:spacing w:line="480" w:lineRule="auto"/>
        <w:contextualSpacing/>
        <w:jc w:val="both"/>
        <w:rPr>
          <w:rFonts w:ascii="Palatino Linotype" w:hAnsi="Palatino Linotype" w:cs="Times New Roman"/>
        </w:rPr>
      </w:pPr>
    </w:p>
    <w:p w14:paraId="7A902D73" w14:textId="5C17991E" w:rsidR="00150AB0" w:rsidRDefault="0087172C" w:rsidP="0091111C">
      <w:pPr>
        <w:spacing w:line="480" w:lineRule="auto"/>
        <w:contextualSpacing/>
        <w:jc w:val="both"/>
        <w:rPr>
          <w:rFonts w:ascii="Palatino Linotype" w:hAnsi="Palatino Linotype" w:cs="Times New Roman"/>
        </w:rPr>
      </w:pPr>
      <w:r w:rsidRPr="00043D52">
        <w:rPr>
          <w:rFonts w:ascii="Palatino Linotype" w:hAnsi="Palatino Linotype" w:cs="Times New Roman"/>
        </w:rPr>
        <w:t xml:space="preserve">Law schools in Australia and the United Kingdom are increasingly adopting clinical legal education (CLE) as an important </w:t>
      </w:r>
      <w:r w:rsidR="004C3080" w:rsidRPr="00043D52">
        <w:rPr>
          <w:rFonts w:ascii="Palatino Linotype" w:hAnsi="Palatino Linotype" w:cs="Times New Roman"/>
        </w:rPr>
        <w:t xml:space="preserve">part </w:t>
      </w:r>
      <w:r w:rsidRPr="00043D52">
        <w:rPr>
          <w:rFonts w:ascii="Palatino Linotype" w:hAnsi="Palatino Linotype" w:cs="Times New Roman"/>
        </w:rPr>
        <w:t xml:space="preserve">of their curriculum.  Models of CLE are emerging in those jurisdictions </w:t>
      </w:r>
      <w:r w:rsidR="004C3080" w:rsidRPr="00043D52">
        <w:rPr>
          <w:rFonts w:ascii="Palatino Linotype" w:hAnsi="Palatino Linotype" w:cs="Times New Roman"/>
        </w:rPr>
        <w:t xml:space="preserve">which </w:t>
      </w:r>
      <w:r w:rsidRPr="00043D52">
        <w:rPr>
          <w:rFonts w:ascii="Palatino Linotype" w:hAnsi="Palatino Linotype" w:cs="Times New Roman"/>
        </w:rPr>
        <w:t>draw</w:t>
      </w:r>
      <w:r w:rsidR="004C3080" w:rsidRPr="00043D52">
        <w:rPr>
          <w:rFonts w:ascii="Palatino Linotype" w:hAnsi="Palatino Linotype" w:cs="Times New Roman"/>
        </w:rPr>
        <w:t xml:space="preserve"> on local experience and </w:t>
      </w:r>
      <w:r w:rsidRPr="00043D52">
        <w:rPr>
          <w:rFonts w:ascii="Palatino Linotype" w:hAnsi="Palatino Linotype" w:cs="Times New Roman"/>
        </w:rPr>
        <w:t xml:space="preserve">the strong tradition of CLE and community lawyering in the United States. The purpose of this </w:t>
      </w:r>
      <w:r w:rsidR="007C75B8" w:rsidRPr="00043D52">
        <w:rPr>
          <w:rFonts w:ascii="Palatino Linotype" w:hAnsi="Palatino Linotype" w:cs="Times New Roman"/>
        </w:rPr>
        <w:t>article</w:t>
      </w:r>
      <w:r w:rsidRPr="00043D52">
        <w:rPr>
          <w:rFonts w:ascii="Palatino Linotype" w:hAnsi="Palatino Linotype" w:cs="Times New Roman"/>
        </w:rPr>
        <w:t xml:space="preserve"> is to examine the pedagogy that underlies CLE and to consider how it can be applied to </w:t>
      </w:r>
      <w:r w:rsidR="00177295" w:rsidRPr="00043D52">
        <w:rPr>
          <w:rFonts w:ascii="Palatino Linotype" w:hAnsi="Palatino Linotype" w:cs="Times New Roman"/>
        </w:rPr>
        <w:t>newly emerg</w:t>
      </w:r>
      <w:r w:rsidRPr="00043D52">
        <w:rPr>
          <w:rFonts w:ascii="Palatino Linotype" w:hAnsi="Palatino Linotype" w:cs="Times New Roman"/>
        </w:rPr>
        <w:t>ing mod</w:t>
      </w:r>
      <w:r w:rsidR="007C75B8" w:rsidRPr="00043D52">
        <w:rPr>
          <w:rFonts w:ascii="Palatino Linotype" w:hAnsi="Palatino Linotype" w:cs="Times New Roman"/>
        </w:rPr>
        <w:t xml:space="preserve">els of </w:t>
      </w:r>
      <w:r w:rsidR="006D3C46" w:rsidRPr="00043D52">
        <w:rPr>
          <w:rFonts w:ascii="Palatino Linotype" w:hAnsi="Palatino Linotype" w:cs="Times New Roman"/>
        </w:rPr>
        <w:t>CLE</w:t>
      </w:r>
      <w:r w:rsidR="007C75B8" w:rsidRPr="00043D52">
        <w:rPr>
          <w:rFonts w:ascii="Palatino Linotype" w:hAnsi="Palatino Linotype" w:cs="Times New Roman"/>
        </w:rPr>
        <w:t>. In particular</w:t>
      </w:r>
      <w:r w:rsidR="00F53510" w:rsidRPr="00043D52">
        <w:rPr>
          <w:rFonts w:ascii="Palatino Linotype" w:hAnsi="Palatino Linotype" w:cs="Times New Roman"/>
        </w:rPr>
        <w:t>,</w:t>
      </w:r>
      <w:r w:rsidR="007C75B8" w:rsidRPr="00043D52">
        <w:rPr>
          <w:rFonts w:ascii="Palatino Linotype" w:hAnsi="Palatino Linotype" w:cs="Times New Roman"/>
        </w:rPr>
        <w:t xml:space="preserve"> it will evaluate a community project </w:t>
      </w:r>
      <w:r w:rsidR="00177295" w:rsidRPr="00043D52">
        <w:rPr>
          <w:rFonts w:ascii="Palatino Linotype" w:hAnsi="Palatino Linotype" w:cs="Times New Roman"/>
        </w:rPr>
        <w:t>legal clinic</w:t>
      </w:r>
      <w:r w:rsidRPr="00043D52">
        <w:rPr>
          <w:rFonts w:ascii="Palatino Linotype" w:hAnsi="Palatino Linotype" w:cs="Times New Roman"/>
        </w:rPr>
        <w:t xml:space="preserve"> </w:t>
      </w:r>
      <w:r w:rsidR="007C75B8" w:rsidRPr="00043D52">
        <w:rPr>
          <w:rFonts w:ascii="Palatino Linotype" w:hAnsi="Palatino Linotype" w:cs="Times New Roman"/>
        </w:rPr>
        <w:t>in which students work on social justice projects in partnership with a range of community organisations</w:t>
      </w:r>
      <w:r w:rsidR="004C3080" w:rsidRPr="00043D52">
        <w:rPr>
          <w:rFonts w:ascii="Palatino Linotype" w:hAnsi="Palatino Linotype" w:cs="Times New Roman"/>
        </w:rPr>
        <w:t>, not limited to legal centres</w:t>
      </w:r>
      <w:r w:rsidR="00F53510" w:rsidRPr="00043D52">
        <w:rPr>
          <w:rFonts w:ascii="Palatino Linotype" w:hAnsi="Palatino Linotype" w:cs="Times New Roman"/>
        </w:rPr>
        <w:t>,</w:t>
      </w:r>
      <w:r w:rsidR="00BE50F7" w:rsidRPr="00043D52">
        <w:rPr>
          <w:rFonts w:ascii="Palatino Linotype" w:hAnsi="Palatino Linotype" w:cs="Times New Roman"/>
          <w:lang w:val="en-US"/>
        </w:rPr>
        <w:t xml:space="preserve"> with a view to determining whether pedagogical goals are being met in the way that </w:t>
      </w:r>
      <w:r w:rsidR="00BE50F7" w:rsidRPr="00043D52">
        <w:rPr>
          <w:rFonts w:ascii="Palatino Linotype" w:hAnsi="Palatino Linotype" w:cs="Times New Roman"/>
          <w:lang w:val="en-US"/>
        </w:rPr>
        <w:lastRenderedPageBreak/>
        <w:t xml:space="preserve">the course is being delivered. </w:t>
      </w:r>
      <w:r w:rsidR="00150AB0" w:rsidRPr="00043D52">
        <w:rPr>
          <w:rFonts w:ascii="Palatino Linotype" w:hAnsi="Palatino Linotype" w:cs="Times New Roman"/>
        </w:rPr>
        <w:t xml:space="preserve">This article </w:t>
      </w:r>
      <w:r w:rsidR="00F53510" w:rsidRPr="00043D52">
        <w:rPr>
          <w:rFonts w:ascii="Palatino Linotype" w:hAnsi="Palatino Linotype" w:cs="Times New Roman"/>
        </w:rPr>
        <w:t xml:space="preserve">argues </w:t>
      </w:r>
      <w:r w:rsidR="00150AB0" w:rsidRPr="00043D52">
        <w:rPr>
          <w:rFonts w:ascii="Palatino Linotype" w:hAnsi="Palatino Linotype" w:cs="Times New Roman"/>
        </w:rPr>
        <w:t xml:space="preserve">that community project legal clinics can result in positive student learning outcomes in relation to the development of a </w:t>
      </w:r>
      <w:r w:rsidR="00150AB0" w:rsidRPr="00043D52">
        <w:rPr>
          <w:rFonts w:ascii="Palatino Linotype" w:hAnsi="Palatino Linotype" w:cs="Times New Roman"/>
          <w:i/>
        </w:rPr>
        <w:t>pro bono</w:t>
      </w:r>
      <w:r w:rsidR="00150AB0" w:rsidRPr="00043D52">
        <w:rPr>
          <w:rFonts w:ascii="Palatino Linotype" w:hAnsi="Palatino Linotype" w:cs="Times New Roman"/>
        </w:rPr>
        <w:t xml:space="preserve"> ethos and commitment to social justice, lawyering skills including client communication</w:t>
      </w:r>
      <w:r w:rsidR="004E72BB" w:rsidRPr="00043D52">
        <w:rPr>
          <w:rFonts w:ascii="Palatino Linotype" w:hAnsi="Palatino Linotype" w:cs="Times New Roman"/>
        </w:rPr>
        <w:t>,</w:t>
      </w:r>
      <w:r w:rsidR="00150AB0" w:rsidRPr="00043D52">
        <w:rPr>
          <w:rFonts w:ascii="Palatino Linotype" w:hAnsi="Palatino Linotype" w:cs="Times New Roman"/>
        </w:rPr>
        <w:t xml:space="preserve"> and the development of a positive professional legal identity. Part II of the article provide</w:t>
      </w:r>
      <w:r w:rsidR="00F53510" w:rsidRPr="00043D52">
        <w:rPr>
          <w:rFonts w:ascii="Palatino Linotype" w:hAnsi="Palatino Linotype" w:cs="Times New Roman"/>
        </w:rPr>
        <w:t>s</w:t>
      </w:r>
      <w:r w:rsidR="00150AB0" w:rsidRPr="00043D52">
        <w:rPr>
          <w:rFonts w:ascii="Palatino Linotype" w:hAnsi="Palatino Linotype" w:cs="Times New Roman"/>
        </w:rPr>
        <w:t xml:space="preserve"> a brief overview of the history of CLE in Australia, the United Kingdom and the United States, noting the trend towards the development of community lawyering clinics. Part III examine</w:t>
      </w:r>
      <w:r w:rsidR="00F53510" w:rsidRPr="00043D52">
        <w:rPr>
          <w:rFonts w:ascii="Palatino Linotype" w:hAnsi="Palatino Linotype" w:cs="Times New Roman"/>
        </w:rPr>
        <w:t>s</w:t>
      </w:r>
      <w:r w:rsidR="00150AB0" w:rsidRPr="00043D52">
        <w:rPr>
          <w:rFonts w:ascii="Palatino Linotype" w:hAnsi="Palatino Linotype" w:cs="Times New Roman"/>
        </w:rPr>
        <w:t xml:space="preserve"> the benefits of community lawyering clinics focusing on the benefits for student learning and the service-learning pedagogy applied in community lawyering clinics in the United States. </w:t>
      </w:r>
      <w:r w:rsidR="00F53510" w:rsidRPr="00043D52">
        <w:rPr>
          <w:rFonts w:ascii="Palatino Linotype" w:hAnsi="Palatino Linotype" w:cs="Times New Roman"/>
        </w:rPr>
        <w:t>Finally, p</w:t>
      </w:r>
      <w:r w:rsidR="00150AB0" w:rsidRPr="00043D52">
        <w:rPr>
          <w:rFonts w:ascii="Palatino Linotype" w:hAnsi="Palatino Linotype" w:cs="Times New Roman"/>
        </w:rPr>
        <w:t xml:space="preserve">art IV </w:t>
      </w:r>
      <w:r w:rsidR="00F53510" w:rsidRPr="00043D52">
        <w:rPr>
          <w:rFonts w:ascii="Palatino Linotype" w:hAnsi="Palatino Linotype" w:cs="Times New Roman"/>
        </w:rPr>
        <w:t>looks at a</w:t>
      </w:r>
      <w:r w:rsidR="00150AB0" w:rsidRPr="00043D52">
        <w:rPr>
          <w:rFonts w:ascii="Palatino Linotype" w:hAnsi="Palatino Linotype" w:cs="Times New Roman"/>
        </w:rPr>
        <w:t xml:space="preserve"> case study of a new community project clinic in Australia that draws upon the service-learning pedagogy of community lawyering CLE. In the community project clinic, students engage in service-learning through undertaking projects with not-for-profit community organisations. Community partners identify relevant issues and needs, and the students work in interdisciplinary teams to address these. Law students working in these teams are often exposed to a broader social problem or issue than they would experience in a traditional ‘in-person’ legal clinic. Initial evaluation suggests that this model for community clinics in law schools assists students to develop lawyering skills and a positive legal identity including awareness of and support for </w:t>
      </w:r>
      <w:r w:rsidR="00150AB0" w:rsidRPr="00043D52">
        <w:rPr>
          <w:rFonts w:ascii="Palatino Linotype" w:hAnsi="Palatino Linotype" w:cs="Times New Roman"/>
          <w:i/>
        </w:rPr>
        <w:t>pro bono</w:t>
      </w:r>
      <w:r w:rsidR="00150AB0" w:rsidRPr="00043D52">
        <w:rPr>
          <w:rFonts w:ascii="Palatino Linotype" w:hAnsi="Palatino Linotype" w:cs="Times New Roman"/>
        </w:rPr>
        <w:t xml:space="preserve"> legal work and a sense of belonging in the legal profession.</w:t>
      </w:r>
    </w:p>
    <w:p w14:paraId="348E1E13" w14:textId="77777777" w:rsidR="005459C3" w:rsidRDefault="005459C3" w:rsidP="0091111C">
      <w:pPr>
        <w:spacing w:line="480" w:lineRule="auto"/>
        <w:contextualSpacing/>
        <w:jc w:val="both"/>
        <w:rPr>
          <w:rFonts w:ascii="Palatino Linotype" w:hAnsi="Palatino Linotype" w:cs="Times New Roman"/>
        </w:rPr>
      </w:pPr>
    </w:p>
    <w:p w14:paraId="103AD4D1" w14:textId="77777777" w:rsidR="005459C3" w:rsidRPr="00043D52" w:rsidRDefault="005459C3" w:rsidP="0091111C">
      <w:pPr>
        <w:spacing w:line="480" w:lineRule="auto"/>
        <w:contextualSpacing/>
        <w:jc w:val="both"/>
        <w:rPr>
          <w:rFonts w:ascii="Palatino Linotype" w:hAnsi="Palatino Linotype" w:cs="Times New Roman"/>
        </w:rPr>
      </w:pPr>
    </w:p>
    <w:p w14:paraId="082C95E2" w14:textId="613F79F7" w:rsidR="00150AB0" w:rsidRDefault="005459C3" w:rsidP="00676CAF">
      <w:pPr>
        <w:spacing w:line="480" w:lineRule="auto"/>
        <w:contextualSpacing/>
        <w:jc w:val="both"/>
        <w:rPr>
          <w:rFonts w:ascii="Palatino Linotype" w:hAnsi="Palatino Linotype" w:cs="Times New Roman"/>
          <w:iCs/>
          <w:lang w:val="en-US"/>
        </w:rPr>
      </w:pPr>
      <w:r w:rsidRPr="005459C3">
        <w:rPr>
          <w:rFonts w:ascii="Palatino Linotype" w:hAnsi="Palatino Linotype" w:cs="Times New Roman"/>
          <w:iCs/>
          <w:lang w:val="en-US"/>
        </w:rPr>
        <w:lastRenderedPageBreak/>
        <w:t xml:space="preserve">PART II: OVERVIEW OF THE DEVELOPMENT OF CLE </w:t>
      </w:r>
    </w:p>
    <w:p w14:paraId="0C06004F" w14:textId="77777777" w:rsidR="00552107" w:rsidRDefault="00552107" w:rsidP="00676CAF">
      <w:pPr>
        <w:spacing w:line="480" w:lineRule="auto"/>
        <w:contextualSpacing/>
        <w:jc w:val="both"/>
        <w:rPr>
          <w:rFonts w:ascii="Palatino Linotype" w:hAnsi="Palatino Linotype" w:cs="Times New Roman"/>
          <w:b/>
          <w:iCs/>
          <w:lang w:val="en-US"/>
        </w:rPr>
      </w:pPr>
    </w:p>
    <w:p w14:paraId="317EB161" w14:textId="77777777" w:rsidR="00150AB0" w:rsidRPr="005459C3" w:rsidRDefault="00150AB0" w:rsidP="00676CAF">
      <w:pPr>
        <w:spacing w:line="480" w:lineRule="auto"/>
        <w:contextualSpacing/>
        <w:jc w:val="both"/>
        <w:rPr>
          <w:rFonts w:ascii="Palatino Linotype" w:hAnsi="Palatino Linotype" w:cs="Times New Roman"/>
          <w:b/>
          <w:iCs/>
          <w:lang w:val="en-US"/>
        </w:rPr>
      </w:pPr>
      <w:r w:rsidRPr="005459C3">
        <w:rPr>
          <w:rFonts w:ascii="Palatino Linotype" w:hAnsi="Palatino Linotype" w:cs="Times New Roman"/>
          <w:b/>
          <w:iCs/>
          <w:lang w:val="en-US"/>
        </w:rPr>
        <w:t>CLE in Australia</w:t>
      </w:r>
    </w:p>
    <w:p w14:paraId="6467AB81" w14:textId="655D7B50" w:rsidR="00150AB0" w:rsidRPr="00043D52" w:rsidRDefault="00150AB0" w:rsidP="00676CAF">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t xml:space="preserve">The first legal clinic in Australia was established at </w:t>
      </w:r>
      <w:proofErr w:type="spellStart"/>
      <w:r w:rsidRPr="00043D52">
        <w:rPr>
          <w:rFonts w:ascii="Palatino Linotype" w:hAnsi="Palatino Linotype" w:cs="Times New Roman"/>
          <w:iCs/>
          <w:lang w:val="en-US"/>
        </w:rPr>
        <w:t>Monash</w:t>
      </w:r>
      <w:proofErr w:type="spellEnd"/>
      <w:r w:rsidRPr="00043D52">
        <w:rPr>
          <w:rFonts w:ascii="Palatino Linotype" w:hAnsi="Palatino Linotype" w:cs="Times New Roman"/>
          <w:iCs/>
          <w:lang w:val="en-US"/>
        </w:rPr>
        <w:t xml:space="preserve"> University in the mid-1970s.</w:t>
      </w:r>
      <w:r w:rsidRPr="00043D52">
        <w:rPr>
          <w:rStyle w:val="FootnoteReference"/>
          <w:rFonts w:ascii="Palatino Linotype" w:hAnsi="Palatino Linotype" w:cs="Times New Roman"/>
          <w:iCs/>
          <w:lang w:val="en-US"/>
        </w:rPr>
        <w:footnoteReference w:id="4"/>
      </w:r>
      <w:r w:rsidRPr="00043D52">
        <w:rPr>
          <w:rFonts w:ascii="Palatino Linotype" w:hAnsi="Palatino Linotype" w:cs="Times New Roman"/>
          <w:iCs/>
          <w:lang w:val="en-US"/>
        </w:rPr>
        <w:t xml:space="preserve"> Since then, the development of CLE has been a somewhat slow process.</w:t>
      </w:r>
      <w:r w:rsidRPr="00043D52">
        <w:rPr>
          <w:rStyle w:val="FootnoteReference"/>
          <w:rFonts w:ascii="Palatino Linotype" w:hAnsi="Palatino Linotype" w:cs="Times New Roman"/>
          <w:iCs/>
          <w:lang w:val="en-US"/>
        </w:rPr>
        <w:footnoteReference w:id="5"/>
      </w:r>
      <w:r w:rsidRPr="00043D52">
        <w:rPr>
          <w:rFonts w:ascii="Palatino Linotype" w:hAnsi="Palatino Linotype" w:cs="Times New Roman"/>
          <w:iCs/>
          <w:lang w:val="en-US"/>
        </w:rPr>
        <w:t xml:space="preserve"> Giddings attributes the lethargy to an ‘uneasy relationship’ between academics and practicing lawyers and a reliance on ‘apprenticeships’ as the main method of preparing junior lawyers for the profession.</w:t>
      </w:r>
      <w:r w:rsidRPr="00043D52">
        <w:rPr>
          <w:rStyle w:val="FootnoteReference"/>
          <w:rFonts w:ascii="Palatino Linotype" w:hAnsi="Palatino Linotype" w:cs="Times New Roman"/>
          <w:iCs/>
          <w:lang w:val="en-US"/>
        </w:rPr>
        <w:footnoteReference w:id="6"/>
      </w:r>
      <w:r w:rsidRPr="00043D52">
        <w:rPr>
          <w:rFonts w:ascii="Palatino Linotype" w:hAnsi="Palatino Linotype" w:cs="Times New Roman"/>
          <w:iCs/>
          <w:lang w:val="en-US"/>
        </w:rPr>
        <w:t xml:space="preserve"> In the last few decades however, the uneasy relationship between the academy and the profession has been substantially mended. </w:t>
      </w:r>
      <w:r w:rsidRPr="00043D52">
        <w:rPr>
          <w:rFonts w:ascii="Palatino Linotype" w:hAnsi="Palatino Linotype" w:cs="Times New Roman"/>
          <w:bCs/>
          <w:iCs/>
        </w:rPr>
        <w:t>Almost every law school in Australia now offers CLE or a similar practical experience to their students. Some, like the University of Queensland, offer several clinics per semester in partnership with a variety of external community legal centres.</w:t>
      </w:r>
      <w:r w:rsidRPr="00043D52">
        <w:rPr>
          <w:rFonts w:ascii="Palatino Linotype" w:hAnsi="Palatino Linotype" w:cs="Times New Roman"/>
          <w:bCs/>
          <w:iCs/>
          <w:vertAlign w:val="superscript"/>
        </w:rPr>
        <w:footnoteReference w:id="7"/>
      </w:r>
      <w:r w:rsidRPr="00043D52">
        <w:rPr>
          <w:rFonts w:ascii="Palatino Linotype" w:hAnsi="Palatino Linotype" w:cs="Times New Roman"/>
          <w:bCs/>
          <w:iCs/>
        </w:rPr>
        <w:t xml:space="preserve"> Others, like Monash University and the University of New South Wales (UNSW) maintain long established centres which form part of the law school itself (Monash-Oakleigh Legal Service and Kingsford Legal Centre respectively). </w:t>
      </w:r>
    </w:p>
    <w:p w14:paraId="782B68D3" w14:textId="09AC4D3B" w:rsidR="00150AB0" w:rsidRPr="00043D52" w:rsidRDefault="00150AB0" w:rsidP="00676CAF">
      <w:pPr>
        <w:spacing w:line="480" w:lineRule="auto"/>
        <w:jc w:val="both"/>
        <w:rPr>
          <w:rFonts w:ascii="Palatino Linotype" w:hAnsi="Palatino Linotype" w:cs="Times New Roman"/>
          <w:bCs/>
          <w:iCs/>
        </w:rPr>
      </w:pPr>
      <w:r w:rsidRPr="00043D52">
        <w:rPr>
          <w:rFonts w:ascii="Palatino Linotype" w:hAnsi="Palatino Linotype" w:cs="Times New Roman"/>
          <w:bCs/>
          <w:iCs/>
        </w:rPr>
        <w:t>Clinics in Australia have continued to maintain a strong focus on access to justice and providing ‘service’ to the community.</w:t>
      </w:r>
      <w:r w:rsidRPr="00043D52">
        <w:rPr>
          <w:rStyle w:val="FootnoteReference"/>
          <w:rFonts w:ascii="Palatino Linotype" w:hAnsi="Palatino Linotype" w:cs="Times New Roman"/>
          <w:bCs/>
          <w:iCs/>
        </w:rPr>
        <w:footnoteReference w:id="8"/>
      </w:r>
      <w:r w:rsidRPr="00043D52">
        <w:rPr>
          <w:rFonts w:ascii="Palatino Linotype" w:hAnsi="Palatino Linotype" w:cs="Times New Roman"/>
          <w:bCs/>
          <w:iCs/>
        </w:rPr>
        <w:t xml:space="preserve"> Whilst these goals haven’t changed, the methods for delivering CLE have evolved significantly. A general trend is now being </w:t>
      </w:r>
      <w:r w:rsidRPr="00043D52">
        <w:rPr>
          <w:rFonts w:ascii="Palatino Linotype" w:hAnsi="Palatino Linotype" w:cs="Times New Roman"/>
          <w:bCs/>
          <w:iCs/>
        </w:rPr>
        <w:lastRenderedPageBreak/>
        <w:t>observed away from traditional ‘on-site’ models towards clinics that are joined</w:t>
      </w:r>
      <w:r w:rsidR="00F53510" w:rsidRPr="00043D52">
        <w:rPr>
          <w:rFonts w:ascii="Palatino Linotype" w:hAnsi="Palatino Linotype" w:cs="Times New Roman"/>
          <w:bCs/>
          <w:iCs/>
        </w:rPr>
        <w:t xml:space="preserve">, </w:t>
      </w:r>
      <w:r w:rsidRPr="00043D52">
        <w:rPr>
          <w:rFonts w:ascii="Palatino Linotype" w:hAnsi="Palatino Linotype" w:cs="Times New Roman"/>
          <w:bCs/>
          <w:iCs/>
        </w:rPr>
        <w:t>or</w:t>
      </w:r>
      <w:r w:rsidR="00F53510" w:rsidRPr="00043D52">
        <w:rPr>
          <w:rFonts w:ascii="Palatino Linotype" w:hAnsi="Palatino Linotype" w:cs="Times New Roman"/>
          <w:bCs/>
          <w:iCs/>
        </w:rPr>
        <w:t>,</w:t>
      </w:r>
      <w:r w:rsidRPr="00043D52">
        <w:rPr>
          <w:rFonts w:ascii="Palatino Linotype" w:hAnsi="Palatino Linotype" w:cs="Times New Roman"/>
          <w:bCs/>
          <w:iCs/>
        </w:rPr>
        <w:t xml:space="preserve"> as Giddings describes it, ‘grafted’</w:t>
      </w:r>
      <w:r w:rsidR="00F53510" w:rsidRPr="00043D52">
        <w:rPr>
          <w:rFonts w:ascii="Palatino Linotype" w:hAnsi="Palatino Linotype" w:cs="Times New Roman"/>
          <w:bCs/>
          <w:iCs/>
        </w:rPr>
        <w:t>,</w:t>
      </w:r>
      <w:r w:rsidRPr="00043D52">
        <w:rPr>
          <w:rFonts w:ascii="Palatino Linotype" w:hAnsi="Palatino Linotype" w:cs="Times New Roman"/>
          <w:bCs/>
          <w:iCs/>
        </w:rPr>
        <w:t xml:space="preserve"> onto existing community organisations.</w:t>
      </w:r>
      <w:r w:rsidRPr="00043D52">
        <w:rPr>
          <w:rStyle w:val="FootnoteReference"/>
          <w:rFonts w:ascii="Palatino Linotype" w:hAnsi="Palatino Linotype" w:cs="Times New Roman"/>
          <w:bCs/>
          <w:iCs/>
        </w:rPr>
        <w:footnoteReference w:id="9"/>
      </w:r>
      <w:r w:rsidRPr="00043D52">
        <w:rPr>
          <w:rFonts w:ascii="Palatino Linotype" w:hAnsi="Palatino Linotype" w:cs="Times New Roman"/>
          <w:bCs/>
          <w:iCs/>
        </w:rPr>
        <w:t xml:space="preserve"> One major advantage of grafting models is that they can be less expensive because infrastructure costs can be shared between the partners.</w:t>
      </w:r>
      <w:r w:rsidRPr="00043D52">
        <w:rPr>
          <w:rStyle w:val="FootnoteReference"/>
          <w:rFonts w:ascii="Palatino Linotype" w:hAnsi="Palatino Linotype" w:cs="Times New Roman"/>
          <w:bCs/>
          <w:iCs/>
        </w:rPr>
        <w:footnoteReference w:id="10"/>
      </w:r>
      <w:r w:rsidRPr="00043D52">
        <w:rPr>
          <w:rFonts w:ascii="Palatino Linotype" w:hAnsi="Palatino Linotype" w:cs="Times New Roman"/>
          <w:bCs/>
          <w:iCs/>
        </w:rPr>
        <w:t xml:space="preserve"> Further, such models are</w:t>
      </w:r>
      <w:r w:rsidR="00F53510" w:rsidRPr="00043D52">
        <w:rPr>
          <w:rFonts w:ascii="Palatino Linotype" w:hAnsi="Palatino Linotype" w:cs="Times New Roman"/>
          <w:bCs/>
          <w:iCs/>
        </w:rPr>
        <w:t xml:space="preserve"> seen to be</w:t>
      </w:r>
      <w:r w:rsidRPr="00043D52">
        <w:rPr>
          <w:rFonts w:ascii="Palatino Linotype" w:hAnsi="Palatino Linotype" w:cs="Times New Roman"/>
          <w:bCs/>
          <w:iCs/>
        </w:rPr>
        <w:t xml:space="preserve"> flexible and </w:t>
      </w:r>
      <w:r w:rsidR="00F53510" w:rsidRPr="00043D52">
        <w:rPr>
          <w:rFonts w:ascii="Palatino Linotype" w:hAnsi="Palatino Linotype" w:cs="Times New Roman"/>
          <w:bCs/>
          <w:iCs/>
        </w:rPr>
        <w:t>don’t necessarily</w:t>
      </w:r>
      <w:r w:rsidRPr="00043D52">
        <w:rPr>
          <w:rFonts w:ascii="Palatino Linotype" w:hAnsi="Palatino Linotype" w:cs="Times New Roman"/>
          <w:bCs/>
          <w:iCs/>
        </w:rPr>
        <w:t xml:space="preserve"> “tie the law school to the provision of a year-round service.”</w:t>
      </w:r>
      <w:r w:rsidRPr="00043D52">
        <w:rPr>
          <w:rStyle w:val="FootnoteReference"/>
          <w:rFonts w:ascii="Palatino Linotype" w:hAnsi="Palatino Linotype" w:cs="Times New Roman"/>
          <w:bCs/>
          <w:iCs/>
        </w:rPr>
        <w:footnoteReference w:id="11"/>
      </w:r>
    </w:p>
    <w:p w14:paraId="3461553F" w14:textId="6491F3F6" w:rsidR="00150AB0" w:rsidRPr="00043D52" w:rsidRDefault="00F53510" w:rsidP="00676CAF">
      <w:pPr>
        <w:spacing w:line="480" w:lineRule="auto"/>
        <w:jc w:val="both"/>
        <w:rPr>
          <w:rFonts w:ascii="Palatino Linotype" w:hAnsi="Palatino Linotype" w:cs="Times New Roman"/>
          <w:bCs/>
          <w:iCs/>
        </w:rPr>
      </w:pPr>
      <w:r w:rsidRPr="00043D52">
        <w:rPr>
          <w:rFonts w:ascii="Palatino Linotype" w:hAnsi="Palatino Linotype" w:cs="Times New Roman"/>
          <w:bCs/>
          <w:iCs/>
        </w:rPr>
        <w:t>Recently, Australian clinics</w:t>
      </w:r>
      <w:r w:rsidR="00150AB0" w:rsidRPr="00043D52">
        <w:rPr>
          <w:rFonts w:ascii="Palatino Linotype" w:hAnsi="Palatino Linotype" w:cs="Times New Roman"/>
          <w:bCs/>
          <w:iCs/>
        </w:rPr>
        <w:t xml:space="preserve"> have </w:t>
      </w:r>
      <w:r w:rsidRPr="00043D52">
        <w:rPr>
          <w:rFonts w:ascii="Palatino Linotype" w:hAnsi="Palatino Linotype" w:cs="Times New Roman"/>
          <w:bCs/>
          <w:iCs/>
        </w:rPr>
        <w:t>even</w:t>
      </w:r>
      <w:r w:rsidR="00150AB0" w:rsidRPr="00043D52">
        <w:rPr>
          <w:rFonts w:ascii="Palatino Linotype" w:hAnsi="Palatino Linotype" w:cs="Times New Roman"/>
          <w:bCs/>
          <w:iCs/>
        </w:rPr>
        <w:t xml:space="preserve"> experimented with interdisciplinary models where students from different disciplines assist in resolving complex socio-economic issues faced by disadvantaged clients.</w:t>
      </w:r>
      <w:r w:rsidR="00150AB0" w:rsidRPr="00043D52">
        <w:rPr>
          <w:rStyle w:val="FootnoteReference"/>
          <w:rFonts w:ascii="Palatino Linotype" w:hAnsi="Palatino Linotype" w:cs="Times New Roman"/>
          <w:bCs/>
          <w:iCs/>
        </w:rPr>
        <w:footnoteReference w:id="12"/>
      </w:r>
      <w:r w:rsidR="00150AB0" w:rsidRPr="00043D52">
        <w:rPr>
          <w:rFonts w:ascii="Palatino Linotype" w:hAnsi="Palatino Linotype" w:cs="Times New Roman"/>
          <w:bCs/>
          <w:iCs/>
        </w:rPr>
        <w:t xml:space="preserve"> At the Monash-Oakleigh Legal Service (MOLS) in Victoria, for instance, finance and social work students work alongside law students to provide a broader range of assistance to clients.</w:t>
      </w:r>
      <w:r w:rsidR="00150AB0" w:rsidRPr="00043D52">
        <w:rPr>
          <w:rStyle w:val="FootnoteReference"/>
          <w:rFonts w:ascii="Palatino Linotype" w:hAnsi="Palatino Linotype" w:cs="Times New Roman"/>
          <w:bCs/>
          <w:iCs/>
        </w:rPr>
        <w:footnoteReference w:id="13"/>
      </w:r>
      <w:r w:rsidR="00150AB0" w:rsidRPr="00043D52">
        <w:rPr>
          <w:rFonts w:ascii="Palatino Linotype" w:hAnsi="Palatino Linotype" w:cs="Times New Roman"/>
          <w:bCs/>
          <w:iCs/>
        </w:rPr>
        <w:t xml:space="preserve"> Pedagogical outcomes achieved through the MOLS model include: a ‘lateral analysis’ of problem solving, opportunities for collaborative team work, and a better understanding of the non-legal aspects of legal work.</w:t>
      </w:r>
      <w:r w:rsidR="00150AB0" w:rsidRPr="00043D52">
        <w:rPr>
          <w:rStyle w:val="FootnoteReference"/>
          <w:rFonts w:ascii="Palatino Linotype" w:hAnsi="Palatino Linotype" w:cs="Times New Roman"/>
          <w:bCs/>
          <w:iCs/>
        </w:rPr>
        <w:footnoteReference w:id="14"/>
      </w:r>
      <w:r w:rsidR="00150AB0" w:rsidRPr="00043D52">
        <w:rPr>
          <w:rFonts w:ascii="Palatino Linotype" w:hAnsi="Palatino Linotype" w:cs="Times New Roman"/>
          <w:bCs/>
          <w:iCs/>
        </w:rPr>
        <w:t xml:space="preserve"> </w:t>
      </w:r>
    </w:p>
    <w:p w14:paraId="0460EC30" w14:textId="77777777" w:rsidR="00552107" w:rsidRDefault="00552107" w:rsidP="00552107">
      <w:pPr>
        <w:spacing w:line="480" w:lineRule="auto"/>
        <w:contextualSpacing/>
        <w:jc w:val="both"/>
        <w:rPr>
          <w:rFonts w:ascii="Palatino Linotype" w:hAnsi="Palatino Linotype" w:cs="Times New Roman"/>
          <w:b/>
          <w:iCs/>
          <w:lang w:val="en-US"/>
        </w:rPr>
      </w:pPr>
    </w:p>
    <w:p w14:paraId="155195E7" w14:textId="77777777" w:rsidR="00552107" w:rsidRDefault="00552107" w:rsidP="00552107">
      <w:pPr>
        <w:spacing w:line="480" w:lineRule="auto"/>
        <w:contextualSpacing/>
        <w:jc w:val="both"/>
        <w:rPr>
          <w:rFonts w:ascii="Palatino Linotype" w:hAnsi="Palatino Linotype" w:cs="Times New Roman"/>
          <w:b/>
          <w:iCs/>
          <w:lang w:val="en-US"/>
        </w:rPr>
      </w:pPr>
    </w:p>
    <w:p w14:paraId="251DD429" w14:textId="77777777" w:rsidR="00552107" w:rsidRDefault="00552107" w:rsidP="00552107">
      <w:pPr>
        <w:spacing w:line="480" w:lineRule="auto"/>
        <w:contextualSpacing/>
        <w:jc w:val="both"/>
        <w:rPr>
          <w:rFonts w:ascii="Palatino Linotype" w:hAnsi="Palatino Linotype" w:cs="Times New Roman"/>
          <w:b/>
          <w:iCs/>
          <w:lang w:val="en-US"/>
        </w:rPr>
      </w:pPr>
      <w:r w:rsidRPr="00043D52">
        <w:rPr>
          <w:rFonts w:ascii="Palatino Linotype" w:hAnsi="Palatino Linotype" w:cs="Times New Roman"/>
          <w:b/>
          <w:iCs/>
          <w:lang w:val="en-US"/>
        </w:rPr>
        <w:lastRenderedPageBreak/>
        <w:t>CLE in the United Kingdom</w:t>
      </w:r>
    </w:p>
    <w:p w14:paraId="28FFC985" w14:textId="7BDA97FF" w:rsidR="00150AB0" w:rsidRPr="00043D52" w:rsidRDefault="00150AB0" w:rsidP="00676CAF">
      <w:pPr>
        <w:spacing w:line="480" w:lineRule="auto"/>
        <w:contextualSpacing/>
        <w:jc w:val="both"/>
        <w:rPr>
          <w:rFonts w:ascii="Palatino Linotype" w:hAnsi="Palatino Linotype" w:cs="Times New Roman"/>
          <w:iCs/>
          <w:lang w:val="en-US"/>
        </w:rPr>
      </w:pPr>
      <w:r w:rsidRPr="00043D52">
        <w:rPr>
          <w:rFonts w:ascii="Palatino Linotype" w:hAnsi="Palatino Linotype" w:cs="Times New Roman"/>
          <w:iCs/>
          <w:lang w:val="en-US"/>
        </w:rPr>
        <w:t>Like Australia, the growth of CLE in the United Kingdom (UK) has been relatively slow.</w:t>
      </w:r>
      <w:r w:rsidRPr="00043D52">
        <w:rPr>
          <w:rStyle w:val="FootnoteReference"/>
          <w:rFonts w:ascii="Palatino Linotype" w:hAnsi="Palatino Linotype" w:cs="Times New Roman"/>
          <w:iCs/>
          <w:lang w:val="en-US"/>
        </w:rPr>
        <w:footnoteReference w:id="15"/>
      </w:r>
      <w:r w:rsidRPr="00043D52">
        <w:rPr>
          <w:rFonts w:ascii="Palatino Linotype" w:hAnsi="Palatino Linotype" w:cs="Times New Roman"/>
          <w:iCs/>
          <w:lang w:val="en-US"/>
        </w:rPr>
        <w:t xml:space="preserve"> The UK’s first legal clinic established at the University of Kent in 1973 was closed just three years later. </w:t>
      </w:r>
      <w:r w:rsidR="00552107">
        <w:rPr>
          <w:rFonts w:ascii="Palatino Linotype" w:hAnsi="Palatino Linotype" w:cs="Times New Roman"/>
          <w:iCs/>
          <w:lang w:val="en-US"/>
        </w:rPr>
        <w:t xml:space="preserve"> </w:t>
      </w:r>
      <w:r w:rsidRPr="00043D52">
        <w:rPr>
          <w:rFonts w:ascii="Palatino Linotype" w:hAnsi="Palatino Linotype" w:cs="Times New Roman"/>
          <w:iCs/>
          <w:lang w:val="en-US"/>
        </w:rPr>
        <w:t>The closure of the clinic left an indelible impression on both UK law schools and the legal profession.</w:t>
      </w:r>
      <w:r w:rsidRPr="00043D52">
        <w:rPr>
          <w:rStyle w:val="FootnoteReference"/>
          <w:rFonts w:ascii="Palatino Linotype" w:hAnsi="Palatino Linotype" w:cs="Times New Roman"/>
          <w:iCs/>
          <w:lang w:val="en-US"/>
        </w:rPr>
        <w:footnoteReference w:id="16"/>
      </w:r>
      <w:r w:rsidRPr="00043D52">
        <w:rPr>
          <w:rFonts w:ascii="Palatino Linotype" w:hAnsi="Palatino Linotype" w:cs="Times New Roman"/>
          <w:iCs/>
          <w:lang w:val="en-US"/>
        </w:rPr>
        <w:t xml:space="preserve"> Adrian Taylor, the original founder and supervisor of the Kent clinic,</w:t>
      </w:r>
      <w:r w:rsidRPr="00043D52">
        <w:rPr>
          <w:rStyle w:val="FootnoteReference"/>
          <w:rFonts w:ascii="Palatino Linotype" w:hAnsi="Palatino Linotype" w:cs="Times New Roman"/>
          <w:iCs/>
          <w:lang w:val="en-US"/>
        </w:rPr>
        <w:footnoteReference w:id="17"/>
      </w:r>
      <w:r w:rsidRPr="00043D52">
        <w:rPr>
          <w:rFonts w:ascii="Palatino Linotype" w:hAnsi="Palatino Linotype" w:cs="Times New Roman"/>
          <w:iCs/>
          <w:lang w:val="en-US"/>
        </w:rPr>
        <w:t xml:space="preserve"> seemed to attribute the clinic’s failure to an uneasy relationship between lawyers and academics (like in Australia) and a degree of confusion as to what strategic direction the clinic should take: a social or legal emphasis.</w:t>
      </w:r>
      <w:r w:rsidRPr="00043D52">
        <w:rPr>
          <w:rStyle w:val="FootnoteReference"/>
          <w:rFonts w:ascii="Palatino Linotype" w:hAnsi="Palatino Linotype" w:cs="Times New Roman"/>
          <w:iCs/>
          <w:lang w:val="en-US"/>
        </w:rPr>
        <w:footnoteReference w:id="18"/>
      </w:r>
      <w:r w:rsidRPr="00043D52">
        <w:rPr>
          <w:rFonts w:ascii="Palatino Linotype" w:hAnsi="Palatino Linotype" w:cs="Times New Roman"/>
          <w:iCs/>
          <w:lang w:val="en-US"/>
        </w:rPr>
        <w:t xml:space="preserve"> After the University withdrew funding in 1977, Taylor reflected on the challenges the clinic</w:t>
      </w:r>
      <w:r w:rsidR="00D32120" w:rsidRPr="00043D52">
        <w:rPr>
          <w:rFonts w:ascii="Palatino Linotype" w:hAnsi="Palatino Linotype" w:cs="Times New Roman"/>
          <w:iCs/>
          <w:lang w:val="en-US"/>
        </w:rPr>
        <w:t xml:space="preserve"> had</w:t>
      </w:r>
      <w:r w:rsidRPr="00043D52">
        <w:rPr>
          <w:rFonts w:ascii="Palatino Linotype" w:hAnsi="Palatino Linotype" w:cs="Times New Roman"/>
          <w:iCs/>
          <w:lang w:val="en-US"/>
        </w:rPr>
        <w:t xml:space="preserve"> faced: </w:t>
      </w:r>
    </w:p>
    <w:p w14:paraId="77E2B639" w14:textId="77777777" w:rsidR="00150AB0" w:rsidRPr="00043D52" w:rsidRDefault="00150AB0" w:rsidP="00013A36">
      <w:pPr>
        <w:spacing w:line="360" w:lineRule="auto"/>
        <w:ind w:left="720"/>
        <w:jc w:val="both"/>
        <w:rPr>
          <w:rFonts w:ascii="Palatino Linotype" w:hAnsi="Palatino Linotype" w:cs="Times New Roman"/>
          <w:iCs/>
          <w:lang w:val="en-US"/>
        </w:rPr>
      </w:pPr>
      <w:r w:rsidRPr="00043D52">
        <w:rPr>
          <w:rFonts w:ascii="Palatino Linotype" w:hAnsi="Palatino Linotype" w:cs="Times New Roman"/>
          <w:i/>
          <w:iCs/>
          <w:lang w:val="en-US"/>
        </w:rPr>
        <w:t>‘My own view was that a failure to connect was basic to the existing situation. Our students seemed to me to be confused by conflicting demands to think like lawyers and to undertake social critiques.”</w:t>
      </w:r>
      <w:r w:rsidRPr="00043D52">
        <w:rPr>
          <w:rStyle w:val="FootnoteReference"/>
          <w:rFonts w:ascii="Palatino Linotype" w:hAnsi="Palatino Linotype" w:cs="Times New Roman"/>
          <w:i/>
          <w:iCs/>
          <w:lang w:val="en-US"/>
        </w:rPr>
        <w:footnoteReference w:id="19"/>
      </w:r>
    </w:p>
    <w:p w14:paraId="4F75B0C7" w14:textId="77777777" w:rsidR="00150AB0" w:rsidRPr="00043D52" w:rsidRDefault="00150AB0" w:rsidP="00676CAF">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t>Taylor also noted that in the UK at the time:</w:t>
      </w:r>
      <w:r w:rsidRPr="00043D52">
        <w:rPr>
          <w:rFonts w:ascii="Palatino Linotype" w:hAnsi="Palatino Linotype" w:cs="Times New Roman"/>
          <w:i/>
          <w:iCs/>
          <w:lang w:val="en-US"/>
        </w:rPr>
        <w:t xml:space="preserve"> “the prospect of expansion of higher education in the early 1960's [had] caught academic lawyers in a state of unpreparedness.”</w:t>
      </w:r>
      <w:r w:rsidRPr="00043D52">
        <w:rPr>
          <w:rStyle w:val="FootnoteReference"/>
          <w:rFonts w:ascii="Palatino Linotype" w:hAnsi="Palatino Linotype" w:cs="Times New Roman"/>
          <w:iCs/>
          <w:lang w:val="en-US"/>
        </w:rPr>
        <w:footnoteReference w:id="20"/>
      </w:r>
      <w:r w:rsidRPr="00043D52">
        <w:rPr>
          <w:rFonts w:ascii="Palatino Linotype" w:hAnsi="Palatino Linotype" w:cs="Times New Roman"/>
          <w:iCs/>
          <w:lang w:val="en-US"/>
        </w:rPr>
        <w:t xml:space="preserve"> It was likely this ‘unpreparedness’ which lead to strategic confusion and disconnect which brought on the ultimate demise of the Kent clinic</w:t>
      </w:r>
      <w:r w:rsidRPr="00043D52">
        <w:rPr>
          <w:rFonts w:ascii="Palatino Linotype" w:hAnsi="Palatino Linotype" w:cs="Times New Roman"/>
          <w:iCs/>
        </w:rPr>
        <w:t>.</w:t>
      </w:r>
      <w:r w:rsidRPr="00043D52">
        <w:rPr>
          <w:rStyle w:val="FootnoteReference"/>
          <w:rFonts w:ascii="Palatino Linotype" w:hAnsi="Palatino Linotype" w:cs="Times New Roman"/>
          <w:iCs/>
        </w:rPr>
        <w:footnoteReference w:id="21"/>
      </w:r>
      <w:r w:rsidRPr="00043D52">
        <w:rPr>
          <w:rFonts w:ascii="Palatino Linotype" w:hAnsi="Palatino Linotype" w:cs="Times New Roman"/>
          <w:iCs/>
        </w:rPr>
        <w:t> </w:t>
      </w:r>
    </w:p>
    <w:p w14:paraId="710B96BC" w14:textId="3855793A" w:rsidR="00150AB0" w:rsidRPr="00043D52" w:rsidRDefault="00150AB0" w:rsidP="00676CAF">
      <w:pPr>
        <w:spacing w:line="480" w:lineRule="auto"/>
        <w:jc w:val="both"/>
        <w:rPr>
          <w:rFonts w:ascii="Palatino Linotype" w:hAnsi="Palatino Linotype" w:cs="Times New Roman"/>
          <w:i/>
          <w:iCs/>
          <w:lang w:val="en-US"/>
        </w:rPr>
      </w:pPr>
      <w:r w:rsidRPr="00043D52">
        <w:rPr>
          <w:rFonts w:ascii="Palatino Linotype" w:hAnsi="Palatino Linotype" w:cs="Times New Roman"/>
          <w:iCs/>
          <w:lang w:val="en-US"/>
        </w:rPr>
        <w:lastRenderedPageBreak/>
        <w:t xml:space="preserve">Recently however, CLE in the UK has experienced a surge of popularity. </w:t>
      </w:r>
      <w:r w:rsidRPr="00043D52">
        <w:rPr>
          <w:rFonts w:ascii="Palatino Linotype" w:hAnsi="Palatino Linotype" w:cs="Times New Roman"/>
          <w:iCs/>
        </w:rPr>
        <w:t xml:space="preserve">Law </w:t>
      </w:r>
      <w:r w:rsidRPr="00043D52">
        <w:rPr>
          <w:rFonts w:ascii="Palatino Linotype" w:hAnsi="Palatino Linotype" w:cs="Times New Roman"/>
          <w:iCs/>
          <w:lang w:val="en-US"/>
        </w:rPr>
        <w:t xml:space="preserve">schools have realized the enormous benefits to students (and society) and have now embraced clinical programs as a regular and routine part </w:t>
      </w:r>
      <w:r w:rsidR="00D32120" w:rsidRPr="00043D52">
        <w:rPr>
          <w:rFonts w:ascii="Palatino Linotype" w:hAnsi="Palatino Linotype" w:cs="Times New Roman"/>
          <w:iCs/>
          <w:lang w:val="en-US"/>
        </w:rPr>
        <w:t xml:space="preserve">of </w:t>
      </w:r>
      <w:r w:rsidRPr="00043D52">
        <w:rPr>
          <w:rFonts w:ascii="Palatino Linotype" w:hAnsi="Palatino Linotype" w:cs="Times New Roman"/>
          <w:iCs/>
          <w:lang w:val="en-US"/>
        </w:rPr>
        <w:t>training</w:t>
      </w:r>
      <w:r w:rsidR="00D32120" w:rsidRPr="00043D52">
        <w:rPr>
          <w:rFonts w:ascii="Palatino Linotype" w:hAnsi="Palatino Linotype" w:cs="Times New Roman"/>
          <w:iCs/>
          <w:lang w:val="en-US"/>
        </w:rPr>
        <w:t xml:space="preserve"> their</w:t>
      </w:r>
      <w:r w:rsidRPr="00043D52">
        <w:rPr>
          <w:rFonts w:ascii="Palatino Linotype" w:hAnsi="Palatino Linotype" w:cs="Times New Roman"/>
          <w:iCs/>
          <w:lang w:val="en-US"/>
        </w:rPr>
        <w:t xml:space="preserve"> junior lawyers.</w:t>
      </w:r>
      <w:r w:rsidRPr="00043D52">
        <w:rPr>
          <w:rStyle w:val="FootnoteReference"/>
          <w:rFonts w:ascii="Palatino Linotype" w:hAnsi="Palatino Linotype" w:cs="Times New Roman"/>
          <w:iCs/>
          <w:lang w:val="en-US"/>
        </w:rPr>
        <w:footnoteReference w:id="22"/>
      </w:r>
      <w:r w:rsidRPr="00043D52">
        <w:rPr>
          <w:rFonts w:ascii="Palatino Linotype" w:hAnsi="Palatino Linotype" w:cs="Times New Roman"/>
          <w:iCs/>
          <w:lang w:val="en-US"/>
        </w:rPr>
        <w:t xml:space="preserve"> The UK approach to CLE is strongly connected to the </w:t>
      </w:r>
      <w:r w:rsidRPr="00043D52">
        <w:rPr>
          <w:rFonts w:ascii="Palatino Linotype" w:hAnsi="Palatino Linotype" w:cs="Times New Roman"/>
          <w:i/>
          <w:iCs/>
          <w:lang w:val="en-US"/>
        </w:rPr>
        <w:t>experiential learning model:</w:t>
      </w:r>
      <w:r w:rsidRPr="00043D52">
        <w:rPr>
          <w:rStyle w:val="FootnoteReference"/>
          <w:rFonts w:ascii="Palatino Linotype" w:hAnsi="Palatino Linotype" w:cs="Times New Roman"/>
          <w:iCs/>
          <w:lang w:val="en-US"/>
        </w:rPr>
        <w:footnoteReference w:id="23"/>
      </w:r>
      <w:r w:rsidRPr="00043D52">
        <w:rPr>
          <w:rFonts w:ascii="Palatino Linotype" w:hAnsi="Palatino Linotype" w:cs="Times New Roman"/>
          <w:iCs/>
          <w:lang w:val="en-US"/>
        </w:rPr>
        <w:t xml:space="preserve"> a method of learning which is driven by students engaging in ‘reflective practices’ which helps to promote change in the student’s attitudes to their future career.</w:t>
      </w:r>
      <w:r w:rsidRPr="00043D52">
        <w:rPr>
          <w:rStyle w:val="FootnoteReference"/>
          <w:rFonts w:ascii="Palatino Linotype" w:hAnsi="Palatino Linotype" w:cs="Times New Roman"/>
          <w:iCs/>
          <w:lang w:val="en-US"/>
        </w:rPr>
        <w:footnoteReference w:id="24"/>
      </w:r>
      <w:r w:rsidRPr="00043D52">
        <w:rPr>
          <w:rFonts w:ascii="Palatino Linotype" w:hAnsi="Palatino Linotype" w:cs="Times New Roman"/>
          <w:iCs/>
          <w:lang w:val="en-US"/>
        </w:rPr>
        <w:t xml:space="preserve"> </w:t>
      </w:r>
      <w:r w:rsidR="004E5BB9" w:rsidRPr="00043D52">
        <w:rPr>
          <w:rFonts w:ascii="Palatino Linotype" w:hAnsi="Palatino Linotype" w:cs="Times New Roman"/>
          <w:iCs/>
          <w:lang w:val="en-US"/>
        </w:rPr>
        <w:t xml:space="preserve">As </w:t>
      </w:r>
      <w:proofErr w:type="spellStart"/>
      <w:r w:rsidRPr="00043D52">
        <w:rPr>
          <w:rFonts w:ascii="Palatino Linotype" w:hAnsi="Palatino Linotype" w:cs="Times New Roman"/>
          <w:iCs/>
          <w:lang w:val="en-US"/>
        </w:rPr>
        <w:t>Clubb</w:t>
      </w:r>
      <w:proofErr w:type="spellEnd"/>
      <w:r w:rsidRPr="00043D52">
        <w:rPr>
          <w:rFonts w:ascii="Palatino Linotype" w:hAnsi="Palatino Linotype" w:cs="Times New Roman"/>
          <w:iCs/>
          <w:lang w:val="en-US"/>
        </w:rPr>
        <w:t xml:space="preserve"> writes:</w:t>
      </w:r>
    </w:p>
    <w:p w14:paraId="64A29F55" w14:textId="3BFA75EE" w:rsidR="00150AB0" w:rsidRPr="00043D52" w:rsidRDefault="00013A36" w:rsidP="00013A36">
      <w:pPr>
        <w:spacing w:line="360" w:lineRule="auto"/>
        <w:ind w:left="720"/>
        <w:jc w:val="both"/>
        <w:rPr>
          <w:rFonts w:ascii="Palatino Linotype" w:hAnsi="Palatino Linotype" w:cs="Times New Roman"/>
          <w:i/>
          <w:iCs/>
          <w:lang w:val="en-US"/>
        </w:rPr>
      </w:pPr>
      <w:r>
        <w:rPr>
          <w:rFonts w:ascii="Palatino Linotype" w:hAnsi="Palatino Linotype" w:cs="Times New Roman"/>
          <w:i/>
          <w:iCs/>
          <w:lang w:val="en-US"/>
        </w:rPr>
        <w:t>”</w:t>
      </w:r>
      <w:r w:rsidR="00150AB0" w:rsidRPr="00043D52">
        <w:rPr>
          <w:rFonts w:ascii="Palatino Linotype" w:hAnsi="Palatino Linotype" w:cs="Times New Roman"/>
          <w:i/>
          <w:iCs/>
          <w:lang w:val="en-US"/>
        </w:rPr>
        <w:t xml:space="preserve">Experiential learning is </w:t>
      </w:r>
      <w:proofErr w:type="spellStart"/>
      <w:r w:rsidR="00150AB0" w:rsidRPr="00043D52">
        <w:rPr>
          <w:rFonts w:ascii="Palatino Linotype" w:hAnsi="Palatino Linotype" w:cs="Times New Roman"/>
          <w:i/>
          <w:iCs/>
          <w:lang w:val="en-US"/>
        </w:rPr>
        <w:t>recognised</w:t>
      </w:r>
      <w:proofErr w:type="spellEnd"/>
      <w:r w:rsidR="00150AB0" w:rsidRPr="00043D52">
        <w:rPr>
          <w:rFonts w:ascii="Palatino Linotype" w:hAnsi="Palatino Linotype" w:cs="Times New Roman"/>
          <w:i/>
          <w:iCs/>
          <w:lang w:val="en-US"/>
        </w:rPr>
        <w:t xml:space="preserve"> as promoting more effective, deeper and </w:t>
      </w:r>
      <w:proofErr w:type="spellStart"/>
      <w:r w:rsidR="00150AB0" w:rsidRPr="00043D52">
        <w:rPr>
          <w:rFonts w:ascii="Palatino Linotype" w:hAnsi="Palatino Linotype" w:cs="Times New Roman"/>
          <w:i/>
          <w:iCs/>
          <w:lang w:val="en-US"/>
        </w:rPr>
        <w:t>contextualised</w:t>
      </w:r>
      <w:proofErr w:type="spellEnd"/>
      <w:r w:rsidR="00150AB0" w:rsidRPr="00043D52">
        <w:rPr>
          <w:rFonts w:ascii="Palatino Linotype" w:hAnsi="Palatino Linotype" w:cs="Times New Roman"/>
          <w:i/>
          <w:iCs/>
          <w:lang w:val="en-US"/>
        </w:rPr>
        <w:t xml:space="preserve"> learning, promoting insight into the professional values, and can illuminate as to the impact of 'policy' and the concepts of what s</w:t>
      </w:r>
      <w:r>
        <w:rPr>
          <w:rFonts w:ascii="Palatino Linotype" w:hAnsi="Palatino Linotype" w:cs="Times New Roman"/>
          <w:i/>
          <w:iCs/>
          <w:lang w:val="en-US"/>
        </w:rPr>
        <w:t>ome term 'social justice issues’ “</w:t>
      </w:r>
      <w:r w:rsidR="00150AB0" w:rsidRPr="00043D52">
        <w:rPr>
          <w:rStyle w:val="FootnoteReference"/>
          <w:rFonts w:ascii="Palatino Linotype" w:hAnsi="Palatino Linotype" w:cs="Times New Roman"/>
          <w:iCs/>
          <w:lang w:val="en-US"/>
        </w:rPr>
        <w:footnoteReference w:id="25"/>
      </w:r>
      <w:r w:rsidR="00150AB0" w:rsidRPr="00043D52">
        <w:rPr>
          <w:rFonts w:ascii="Palatino Linotype" w:hAnsi="Palatino Linotype" w:cs="Times New Roman"/>
          <w:iCs/>
          <w:lang w:val="en-US"/>
        </w:rPr>
        <w:t xml:space="preserve"> </w:t>
      </w:r>
    </w:p>
    <w:p w14:paraId="4DC77597" w14:textId="41D5D4F8" w:rsidR="00150AB0" w:rsidRPr="00043D52" w:rsidRDefault="00150AB0" w:rsidP="00676CAF">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t>The concept of experiential learning is n</w:t>
      </w:r>
      <w:r w:rsidR="004E5BB9" w:rsidRPr="00043D52">
        <w:rPr>
          <w:rFonts w:ascii="Palatino Linotype" w:hAnsi="Palatino Linotype" w:cs="Times New Roman"/>
          <w:iCs/>
          <w:lang w:val="en-US"/>
        </w:rPr>
        <w:t>either</w:t>
      </w:r>
      <w:r w:rsidRPr="00043D52">
        <w:rPr>
          <w:rFonts w:ascii="Palatino Linotype" w:hAnsi="Palatino Linotype" w:cs="Times New Roman"/>
          <w:iCs/>
          <w:lang w:val="en-US"/>
        </w:rPr>
        <w:t xml:space="preserve"> new nor specific to the UK. Writing in the </w:t>
      </w:r>
      <w:r w:rsidRPr="00043D52">
        <w:rPr>
          <w:rFonts w:ascii="Palatino Linotype" w:hAnsi="Palatino Linotype" w:cs="Times New Roman"/>
          <w:i/>
          <w:iCs/>
          <w:lang w:val="en-US"/>
        </w:rPr>
        <w:t>Journal of Professional Legal Education</w:t>
      </w:r>
      <w:r w:rsidRPr="00043D52">
        <w:rPr>
          <w:rFonts w:ascii="Palatino Linotype" w:hAnsi="Palatino Linotype" w:cs="Times New Roman"/>
          <w:iCs/>
          <w:lang w:val="en-US"/>
        </w:rPr>
        <w:t xml:space="preserve"> in 1989, Downs pointed out: </w:t>
      </w:r>
    </w:p>
    <w:p w14:paraId="77F70967" w14:textId="7710B372" w:rsidR="00150AB0" w:rsidRPr="00043D52" w:rsidRDefault="00013A36" w:rsidP="00013A36">
      <w:pPr>
        <w:spacing w:line="360" w:lineRule="auto"/>
        <w:ind w:left="720"/>
        <w:jc w:val="both"/>
        <w:rPr>
          <w:rFonts w:ascii="Palatino Linotype" w:hAnsi="Palatino Linotype" w:cs="Times New Roman"/>
          <w:iCs/>
          <w:lang w:val="en-US"/>
        </w:rPr>
      </w:pPr>
      <w:r>
        <w:rPr>
          <w:rFonts w:ascii="Palatino Linotype" w:hAnsi="Palatino Linotype" w:cs="Times New Roman"/>
          <w:i/>
          <w:iCs/>
          <w:lang w:val="en-US"/>
        </w:rPr>
        <w:t>”</w:t>
      </w:r>
      <w:r w:rsidR="00150AB0" w:rsidRPr="00043D52">
        <w:rPr>
          <w:rFonts w:ascii="Palatino Linotype" w:hAnsi="Palatino Linotype" w:cs="Times New Roman"/>
          <w:i/>
          <w:iCs/>
          <w:lang w:val="en-US"/>
        </w:rPr>
        <w:t>a movement [resembling experiential learning] has been evident from as early as the mid-nineteenth century as a means of redressing the balance between abstract learning and practical experience</w:t>
      </w:r>
      <w:r w:rsidR="00150AB0" w:rsidRPr="00043D52">
        <w:rPr>
          <w:rFonts w:ascii="Palatino Linotype" w:hAnsi="Palatino Linotype" w:cs="Times New Roman"/>
          <w:iCs/>
          <w:lang w:val="en-US"/>
        </w:rPr>
        <w:t>.”</w:t>
      </w:r>
      <w:r w:rsidR="00150AB0" w:rsidRPr="00043D52">
        <w:rPr>
          <w:rStyle w:val="FootnoteReference"/>
          <w:rFonts w:ascii="Palatino Linotype" w:hAnsi="Palatino Linotype" w:cs="Times New Roman"/>
          <w:iCs/>
          <w:lang w:val="en-US"/>
        </w:rPr>
        <w:footnoteReference w:id="26"/>
      </w:r>
      <w:r w:rsidR="00150AB0" w:rsidRPr="00043D52">
        <w:rPr>
          <w:rFonts w:ascii="Palatino Linotype" w:hAnsi="Palatino Linotype" w:cs="Times New Roman"/>
          <w:iCs/>
          <w:lang w:val="en-US"/>
        </w:rPr>
        <w:t xml:space="preserve"> </w:t>
      </w:r>
    </w:p>
    <w:p w14:paraId="5B30B5AB" w14:textId="3907A146" w:rsidR="00150AB0" w:rsidRPr="00043D52" w:rsidRDefault="00150AB0" w:rsidP="00676CAF">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lastRenderedPageBreak/>
        <w:t>Like Australia, the UK has experimented with different approaches of delivering CLE.  Recent research</w:t>
      </w:r>
      <w:r w:rsidR="00DF2F2B" w:rsidRPr="00043D52">
        <w:rPr>
          <w:rFonts w:ascii="Palatino Linotype" w:hAnsi="Palatino Linotype" w:cs="Times New Roman"/>
          <w:iCs/>
          <w:lang w:val="en-US"/>
        </w:rPr>
        <w:t>, for instance,</w:t>
      </w:r>
      <w:r w:rsidRPr="00043D52">
        <w:rPr>
          <w:rFonts w:ascii="Palatino Linotype" w:hAnsi="Palatino Linotype" w:cs="Times New Roman"/>
          <w:iCs/>
          <w:lang w:val="en-US"/>
        </w:rPr>
        <w:t xml:space="preserve"> has looked at the use of CLE in the UK at the postgraduate level.</w:t>
      </w:r>
      <w:r w:rsidRPr="00043D52">
        <w:rPr>
          <w:rStyle w:val="FootnoteReference"/>
          <w:rFonts w:ascii="Palatino Linotype" w:hAnsi="Palatino Linotype" w:cs="Times New Roman"/>
          <w:iCs/>
          <w:lang w:val="en-US"/>
        </w:rPr>
        <w:footnoteReference w:id="27"/>
      </w:r>
      <w:r w:rsidRPr="00043D52">
        <w:rPr>
          <w:rFonts w:ascii="Palatino Linotype" w:hAnsi="Palatino Linotype" w:cs="Times New Roman"/>
          <w:iCs/>
          <w:lang w:val="en-US"/>
        </w:rPr>
        <w:t xml:space="preserve"> It is thought at the masters level, perhaps due to their own life experiences, students can engage in a wider appreciation of the socio-economic factors which underpin the client’s concerns.</w:t>
      </w:r>
      <w:r w:rsidRPr="00043D52">
        <w:rPr>
          <w:rStyle w:val="FootnoteReference"/>
          <w:rFonts w:ascii="Palatino Linotype" w:hAnsi="Palatino Linotype" w:cs="Times New Roman"/>
          <w:iCs/>
          <w:lang w:val="en-US"/>
        </w:rPr>
        <w:footnoteReference w:id="28"/>
      </w:r>
      <w:r w:rsidRPr="00043D52">
        <w:rPr>
          <w:rFonts w:ascii="Palatino Linotype" w:hAnsi="Palatino Linotype" w:cs="Times New Roman"/>
          <w:iCs/>
          <w:lang w:val="en-US"/>
        </w:rPr>
        <w:t xml:space="preserve">  Postgraduate students are expected to offer creative and original responses to issues and of both procedural and substantive justice that face those disadvantaged in the community.</w:t>
      </w:r>
      <w:r w:rsidRPr="00043D52">
        <w:rPr>
          <w:rStyle w:val="FootnoteReference"/>
          <w:rFonts w:ascii="Palatino Linotype" w:hAnsi="Palatino Linotype" w:cs="Times New Roman"/>
          <w:iCs/>
          <w:lang w:val="en-US"/>
        </w:rPr>
        <w:footnoteReference w:id="29"/>
      </w:r>
      <w:r w:rsidRPr="00043D52">
        <w:rPr>
          <w:rFonts w:ascii="Palatino Linotype" w:hAnsi="Palatino Linotype" w:cs="Times New Roman"/>
          <w:iCs/>
          <w:lang w:val="en-US"/>
        </w:rPr>
        <w:t xml:space="preserve"> </w:t>
      </w:r>
    </w:p>
    <w:p w14:paraId="76B647B2" w14:textId="43581712" w:rsidR="00150AB0" w:rsidRPr="00043D52" w:rsidRDefault="00DF2F2B" w:rsidP="00676CAF">
      <w:pPr>
        <w:spacing w:line="480" w:lineRule="auto"/>
        <w:jc w:val="both"/>
        <w:rPr>
          <w:rFonts w:ascii="Palatino Linotype" w:hAnsi="Palatino Linotype" w:cs="Times New Roman"/>
          <w:b/>
          <w:iCs/>
          <w:lang w:val="en-US"/>
        </w:rPr>
      </w:pPr>
      <w:r w:rsidRPr="00043D52">
        <w:rPr>
          <w:rFonts w:ascii="Palatino Linotype" w:hAnsi="Palatino Linotype" w:cs="Times New Roman"/>
          <w:b/>
          <w:iCs/>
          <w:lang w:val="en-US"/>
        </w:rPr>
        <w:t>CLE in the United States</w:t>
      </w:r>
      <w:r w:rsidR="00150AB0" w:rsidRPr="00043D52">
        <w:rPr>
          <w:rFonts w:ascii="Palatino Linotype" w:hAnsi="Palatino Linotype" w:cs="Times New Roman"/>
          <w:b/>
          <w:iCs/>
          <w:lang w:val="en-US"/>
        </w:rPr>
        <w:t xml:space="preserve"> – trends in community lawyering </w:t>
      </w:r>
    </w:p>
    <w:p w14:paraId="49E96B0E" w14:textId="1EADE25C" w:rsidR="00150AB0" w:rsidRPr="00043D52" w:rsidRDefault="00150AB0" w:rsidP="00676CAF">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t xml:space="preserve">In contrast to the UK and Australia, the development of CLE in the United States (US) has enjoyed a </w:t>
      </w:r>
      <w:r w:rsidR="00D32120" w:rsidRPr="00043D52">
        <w:rPr>
          <w:rFonts w:ascii="Palatino Linotype" w:hAnsi="Palatino Linotype" w:cs="Times New Roman"/>
          <w:iCs/>
          <w:lang w:val="en-US"/>
        </w:rPr>
        <w:t>rich</w:t>
      </w:r>
      <w:r w:rsidRPr="00043D52">
        <w:rPr>
          <w:rFonts w:ascii="Palatino Linotype" w:hAnsi="Palatino Linotype" w:cs="Times New Roman"/>
          <w:iCs/>
          <w:lang w:val="en-US"/>
        </w:rPr>
        <w:t xml:space="preserve"> history. Early clinical programs emerged in the first half of the twentieth century and although pedagogical outcomes were not the original goal, the benefits of face-to-face client contact were still </w:t>
      </w:r>
      <w:proofErr w:type="spellStart"/>
      <w:r w:rsidRPr="00043D52">
        <w:rPr>
          <w:rFonts w:ascii="Palatino Linotype" w:hAnsi="Palatino Linotype" w:cs="Times New Roman"/>
          <w:iCs/>
          <w:lang w:val="en-US"/>
        </w:rPr>
        <w:t>recognised</w:t>
      </w:r>
      <w:proofErr w:type="spellEnd"/>
      <w:r w:rsidRPr="00043D52">
        <w:rPr>
          <w:rFonts w:ascii="Palatino Linotype" w:hAnsi="Palatino Linotype" w:cs="Times New Roman"/>
          <w:iCs/>
          <w:lang w:val="en-US"/>
        </w:rPr>
        <w:t>.</w:t>
      </w:r>
      <w:r w:rsidRPr="00043D52">
        <w:rPr>
          <w:rStyle w:val="FootnoteReference"/>
          <w:rFonts w:ascii="Palatino Linotype" w:hAnsi="Palatino Linotype" w:cs="Times New Roman"/>
          <w:iCs/>
          <w:lang w:val="en-US"/>
        </w:rPr>
        <w:footnoteReference w:id="30"/>
      </w:r>
      <w:r w:rsidRPr="00043D52">
        <w:rPr>
          <w:rFonts w:ascii="Palatino Linotype" w:hAnsi="Palatino Linotype" w:cs="Times New Roman"/>
          <w:iCs/>
          <w:lang w:val="en-US"/>
        </w:rPr>
        <w:t xml:space="preserve"> The 1960s saw a ‘blossoming’ of legal clinics </w:t>
      </w:r>
      <w:r w:rsidR="00D32120" w:rsidRPr="00043D52">
        <w:rPr>
          <w:rFonts w:ascii="Palatino Linotype" w:hAnsi="Palatino Linotype" w:cs="Times New Roman"/>
          <w:iCs/>
          <w:lang w:val="en-US"/>
        </w:rPr>
        <w:t xml:space="preserve">in the US </w:t>
      </w:r>
      <w:r w:rsidRPr="00043D52">
        <w:rPr>
          <w:rFonts w:ascii="Palatino Linotype" w:hAnsi="Palatino Linotype" w:cs="Times New Roman"/>
          <w:iCs/>
          <w:lang w:val="en-US"/>
        </w:rPr>
        <w:t>aiming to provide greater social justice outcomes</w:t>
      </w:r>
      <w:r w:rsidR="00D32120" w:rsidRPr="00043D52">
        <w:rPr>
          <w:rFonts w:ascii="Palatino Linotype" w:hAnsi="Palatino Linotype" w:cs="Times New Roman"/>
          <w:iCs/>
          <w:lang w:val="en-US"/>
        </w:rPr>
        <w:t xml:space="preserve"> for communities</w:t>
      </w:r>
      <w:r w:rsidRPr="00043D52">
        <w:rPr>
          <w:rFonts w:ascii="Palatino Linotype" w:hAnsi="Palatino Linotype" w:cs="Times New Roman"/>
          <w:iCs/>
          <w:lang w:val="en-US"/>
        </w:rPr>
        <w:t>.</w:t>
      </w:r>
      <w:r w:rsidRPr="00043D52">
        <w:rPr>
          <w:rStyle w:val="FootnoteReference"/>
          <w:rFonts w:ascii="Palatino Linotype" w:hAnsi="Palatino Linotype" w:cs="Times New Roman"/>
          <w:iCs/>
          <w:lang w:val="en-US"/>
        </w:rPr>
        <w:footnoteReference w:id="31"/>
      </w:r>
      <w:r w:rsidRPr="00043D52">
        <w:rPr>
          <w:rFonts w:ascii="Palatino Linotype" w:hAnsi="Palatino Linotype" w:cs="Times New Roman"/>
          <w:iCs/>
          <w:lang w:val="en-US"/>
        </w:rPr>
        <w:t xml:space="preserve"> As Brodie remarks, this was largely in response to increased “demands for social relevance”</w:t>
      </w:r>
      <w:r w:rsidRPr="00043D52">
        <w:rPr>
          <w:rStyle w:val="FootnoteReference"/>
          <w:rFonts w:ascii="Palatino Linotype" w:hAnsi="Palatino Linotype" w:cs="Times New Roman"/>
          <w:iCs/>
          <w:lang w:val="en-US"/>
        </w:rPr>
        <w:footnoteReference w:id="32"/>
      </w:r>
      <w:r w:rsidRPr="00043D52">
        <w:rPr>
          <w:rFonts w:ascii="Palatino Linotype" w:hAnsi="Palatino Linotype" w:cs="Times New Roman"/>
          <w:iCs/>
          <w:lang w:val="en-US"/>
        </w:rPr>
        <w:t xml:space="preserve"> likely influenced by the US civil rights movement</w:t>
      </w:r>
      <w:r w:rsidR="00DF2F2B" w:rsidRPr="00043D52">
        <w:rPr>
          <w:rFonts w:ascii="Palatino Linotype" w:hAnsi="Palatino Linotype" w:cs="Times New Roman"/>
          <w:iCs/>
          <w:lang w:val="en-US"/>
        </w:rPr>
        <w:t xml:space="preserve"> of the time.</w:t>
      </w:r>
      <w:r w:rsidRPr="00043D52">
        <w:rPr>
          <w:rFonts w:ascii="Palatino Linotype" w:hAnsi="Palatino Linotype" w:cs="Times New Roman"/>
          <w:iCs/>
          <w:lang w:val="en-US"/>
        </w:rPr>
        <w:t xml:space="preserve"> </w:t>
      </w:r>
    </w:p>
    <w:p w14:paraId="573BD4E0" w14:textId="7B7DBCE4" w:rsidR="00150AB0" w:rsidRPr="00043D52" w:rsidRDefault="00150AB0" w:rsidP="00676CAF">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lastRenderedPageBreak/>
        <w:t xml:space="preserve">In the last few decades, a particular ‘resurgence’ or ‘theme’ of CLE experiences has emerged </w:t>
      </w:r>
      <w:r w:rsidR="00D32120" w:rsidRPr="00043D52">
        <w:rPr>
          <w:rFonts w:ascii="Palatino Linotype" w:hAnsi="Palatino Linotype" w:cs="Times New Roman"/>
          <w:iCs/>
          <w:lang w:val="en-US"/>
        </w:rPr>
        <w:t xml:space="preserve">in the US </w:t>
      </w:r>
      <w:r w:rsidR="00DF2F2B" w:rsidRPr="00043D52">
        <w:rPr>
          <w:rFonts w:ascii="Palatino Linotype" w:hAnsi="Palatino Linotype" w:cs="Times New Roman"/>
          <w:iCs/>
          <w:lang w:val="en-US"/>
        </w:rPr>
        <w:t>known as</w:t>
      </w:r>
      <w:r w:rsidRPr="00043D52">
        <w:rPr>
          <w:rFonts w:ascii="Palatino Linotype" w:hAnsi="Palatino Linotype" w:cs="Times New Roman"/>
          <w:iCs/>
          <w:lang w:val="en-US"/>
        </w:rPr>
        <w:t xml:space="preserve"> ‘community lawyering.’</w:t>
      </w:r>
      <w:r w:rsidRPr="00043D52">
        <w:rPr>
          <w:rStyle w:val="FootnoteReference"/>
          <w:rFonts w:ascii="Palatino Linotype" w:hAnsi="Palatino Linotype" w:cs="Times New Roman"/>
          <w:iCs/>
          <w:lang w:val="en-US"/>
        </w:rPr>
        <w:footnoteReference w:id="33"/>
      </w:r>
      <w:r w:rsidRPr="00043D52">
        <w:rPr>
          <w:rFonts w:ascii="Palatino Linotype" w:hAnsi="Palatino Linotype" w:cs="Times New Roman"/>
          <w:iCs/>
          <w:lang w:val="en-US"/>
        </w:rPr>
        <w:t xml:space="preserve"> Karen </w:t>
      </w:r>
      <w:proofErr w:type="spellStart"/>
      <w:r w:rsidRPr="00043D52">
        <w:rPr>
          <w:rFonts w:ascii="Palatino Linotype" w:hAnsi="Palatino Linotype" w:cs="Times New Roman"/>
          <w:iCs/>
          <w:lang w:val="en-US"/>
        </w:rPr>
        <w:t>Tokarz</w:t>
      </w:r>
      <w:proofErr w:type="spellEnd"/>
      <w:r w:rsidRPr="00043D52">
        <w:rPr>
          <w:rFonts w:ascii="Palatino Linotype" w:hAnsi="Palatino Linotype" w:cs="Times New Roman"/>
          <w:iCs/>
          <w:lang w:val="en-US"/>
        </w:rPr>
        <w:t xml:space="preserve"> and other researchers self-identify as ‘community lawyers’ and “teachers of community lawyering clinics.”</w:t>
      </w:r>
      <w:r w:rsidRPr="00043D52">
        <w:rPr>
          <w:rStyle w:val="FootnoteReference"/>
          <w:rFonts w:ascii="Palatino Linotype" w:hAnsi="Palatino Linotype" w:cs="Times New Roman"/>
          <w:iCs/>
          <w:lang w:val="en-US"/>
        </w:rPr>
        <w:footnoteReference w:id="34"/>
      </w:r>
      <w:r w:rsidRPr="00043D52">
        <w:rPr>
          <w:rFonts w:ascii="Palatino Linotype" w:hAnsi="Palatino Linotype" w:cs="Times New Roman"/>
          <w:iCs/>
          <w:lang w:val="en-US"/>
        </w:rPr>
        <w:t xml:space="preserve"> The community lawyering model can be neatly summarized as:</w:t>
      </w:r>
    </w:p>
    <w:p w14:paraId="2D627044" w14:textId="3F8A0F35" w:rsidR="00150AB0" w:rsidRPr="00043D52" w:rsidRDefault="00013A36" w:rsidP="00013A36">
      <w:pPr>
        <w:spacing w:line="360" w:lineRule="auto"/>
        <w:ind w:left="720"/>
        <w:jc w:val="both"/>
        <w:rPr>
          <w:rFonts w:ascii="Palatino Linotype" w:hAnsi="Palatino Linotype" w:cs="Times New Roman"/>
          <w:i/>
          <w:iCs/>
          <w:lang w:val="en-US"/>
        </w:rPr>
      </w:pPr>
      <w:r>
        <w:rPr>
          <w:rFonts w:ascii="Palatino Linotype" w:hAnsi="Palatino Linotype" w:cs="Times New Roman"/>
          <w:i/>
          <w:iCs/>
          <w:lang w:val="en-US"/>
        </w:rPr>
        <w:t>”</w:t>
      </w:r>
      <w:r w:rsidR="00150AB0" w:rsidRPr="00043D52">
        <w:rPr>
          <w:rFonts w:ascii="Palatino Linotype" w:hAnsi="Palatino Linotype" w:cs="Times New Roman"/>
          <w:i/>
          <w:iCs/>
          <w:lang w:val="en-US"/>
        </w:rPr>
        <w:t>an approach to the practice of law and to clinical legal education that centers on building and sustaining relationships with clients, over time, in context, as a part of and</w:t>
      </w:r>
      <w:r>
        <w:rPr>
          <w:rFonts w:ascii="Palatino Linotype" w:hAnsi="Palatino Linotype" w:cs="Times New Roman"/>
          <w:i/>
          <w:iCs/>
          <w:lang w:val="en-US"/>
        </w:rPr>
        <w:t xml:space="preserve"> in conjunction with communities</w:t>
      </w:r>
      <w:r w:rsidR="00150AB0" w:rsidRPr="00043D52">
        <w:rPr>
          <w:rFonts w:ascii="Palatino Linotype" w:hAnsi="Palatino Linotype" w:cs="Times New Roman"/>
          <w:i/>
          <w:iCs/>
          <w:lang w:val="en-US"/>
        </w:rPr>
        <w:t>.”</w:t>
      </w:r>
      <w:r w:rsidR="00150AB0" w:rsidRPr="00043D52">
        <w:rPr>
          <w:rStyle w:val="FootnoteReference"/>
          <w:rFonts w:ascii="Palatino Linotype" w:hAnsi="Palatino Linotype" w:cs="Times New Roman"/>
          <w:iCs/>
          <w:lang w:val="en-US"/>
        </w:rPr>
        <w:footnoteReference w:id="35"/>
      </w:r>
      <w:r w:rsidR="00150AB0" w:rsidRPr="00043D52">
        <w:rPr>
          <w:rFonts w:ascii="Palatino Linotype" w:hAnsi="Palatino Linotype" w:cs="Times New Roman"/>
          <w:iCs/>
          <w:lang w:val="en-US"/>
        </w:rPr>
        <w:t xml:space="preserve"> </w:t>
      </w:r>
    </w:p>
    <w:p w14:paraId="3479A0D8" w14:textId="48A7A4B3" w:rsidR="00150AB0" w:rsidRPr="00043D52" w:rsidRDefault="00D32120" w:rsidP="00676CAF">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t>C</w:t>
      </w:r>
      <w:r w:rsidR="00150AB0" w:rsidRPr="00043D52">
        <w:rPr>
          <w:rFonts w:ascii="Palatino Linotype" w:hAnsi="Palatino Linotype" w:cs="Times New Roman"/>
          <w:iCs/>
          <w:lang w:val="en-US"/>
        </w:rPr>
        <w:t xml:space="preserve">ommunity lawyers </w:t>
      </w:r>
      <w:r w:rsidRPr="00043D52">
        <w:rPr>
          <w:rFonts w:ascii="Palatino Linotype" w:hAnsi="Palatino Linotype" w:cs="Times New Roman"/>
          <w:iCs/>
          <w:lang w:val="en-US"/>
        </w:rPr>
        <w:t>in the US have been</w:t>
      </w:r>
      <w:r w:rsidR="00150AB0" w:rsidRPr="00043D52">
        <w:rPr>
          <w:rFonts w:ascii="Palatino Linotype" w:hAnsi="Palatino Linotype" w:cs="Times New Roman"/>
          <w:iCs/>
          <w:lang w:val="en-US"/>
        </w:rPr>
        <w:t xml:space="preserve"> involved in a wide variety of projects including litigation, mediation, transactional work, law reform and legal education, all of which aim to benefit the community.</w:t>
      </w:r>
      <w:r w:rsidR="00150AB0" w:rsidRPr="00043D52">
        <w:rPr>
          <w:rStyle w:val="FootnoteReference"/>
          <w:rFonts w:ascii="Palatino Linotype" w:hAnsi="Palatino Linotype" w:cs="Times New Roman"/>
          <w:iCs/>
          <w:lang w:val="en-US"/>
        </w:rPr>
        <w:footnoteReference w:id="36"/>
      </w:r>
      <w:r w:rsidR="00150AB0" w:rsidRPr="00043D52">
        <w:rPr>
          <w:rFonts w:ascii="Palatino Linotype" w:hAnsi="Palatino Linotype" w:cs="Times New Roman"/>
          <w:iCs/>
          <w:lang w:val="en-US"/>
        </w:rPr>
        <w:t xml:space="preserve"> The</w:t>
      </w:r>
      <w:r w:rsidRPr="00043D52">
        <w:rPr>
          <w:rFonts w:ascii="Palatino Linotype" w:hAnsi="Palatino Linotype" w:cs="Times New Roman"/>
          <w:iCs/>
          <w:lang w:val="en-US"/>
        </w:rPr>
        <w:t xml:space="preserve">ir </w:t>
      </w:r>
      <w:r w:rsidR="00150AB0" w:rsidRPr="00043D52">
        <w:rPr>
          <w:rFonts w:ascii="Palatino Linotype" w:hAnsi="Palatino Linotype" w:cs="Times New Roman"/>
          <w:iCs/>
          <w:lang w:val="en-US"/>
        </w:rPr>
        <w:t>response to issues of injustice is predominately at a local level rather than broad</w:t>
      </w:r>
      <w:r w:rsidR="00217955" w:rsidRPr="00043D52">
        <w:rPr>
          <w:rFonts w:ascii="Palatino Linotype" w:hAnsi="Palatino Linotype" w:cs="Times New Roman"/>
          <w:iCs/>
          <w:lang w:val="en-US"/>
        </w:rPr>
        <w:t>er</w:t>
      </w:r>
      <w:r w:rsidR="00150AB0" w:rsidRPr="00043D52">
        <w:rPr>
          <w:rFonts w:ascii="Palatino Linotype" w:hAnsi="Palatino Linotype" w:cs="Times New Roman"/>
          <w:iCs/>
          <w:lang w:val="en-US"/>
        </w:rPr>
        <w:t xml:space="preserve"> national or regional responses.</w:t>
      </w:r>
      <w:r w:rsidR="00150AB0" w:rsidRPr="00043D52">
        <w:rPr>
          <w:rStyle w:val="FootnoteReference"/>
          <w:rFonts w:ascii="Palatino Linotype" w:hAnsi="Palatino Linotype" w:cs="Times New Roman"/>
          <w:iCs/>
          <w:lang w:val="en-US"/>
        </w:rPr>
        <w:footnoteReference w:id="37"/>
      </w:r>
      <w:r w:rsidR="00150AB0" w:rsidRPr="00043D52">
        <w:rPr>
          <w:rFonts w:ascii="Palatino Linotype" w:hAnsi="Palatino Linotype" w:cs="Times New Roman"/>
          <w:iCs/>
          <w:lang w:val="en-US"/>
        </w:rPr>
        <w:t xml:space="preserve"> Interdisciplinary collaboration is also at the core of </w:t>
      </w:r>
      <w:r w:rsidRPr="00043D52">
        <w:rPr>
          <w:rFonts w:ascii="Palatino Linotype" w:hAnsi="Palatino Linotype" w:cs="Times New Roman"/>
          <w:iCs/>
          <w:lang w:val="en-US"/>
        </w:rPr>
        <w:t>the approach</w:t>
      </w:r>
      <w:r w:rsidR="00217955" w:rsidRPr="00043D52">
        <w:rPr>
          <w:rFonts w:ascii="Palatino Linotype" w:hAnsi="Palatino Linotype" w:cs="Times New Roman"/>
          <w:iCs/>
          <w:lang w:val="en-US"/>
        </w:rPr>
        <w:t xml:space="preserve"> </w:t>
      </w:r>
      <w:r w:rsidR="00150AB0" w:rsidRPr="00043D52">
        <w:rPr>
          <w:rFonts w:ascii="Palatino Linotype" w:hAnsi="Palatino Linotype" w:cs="Times New Roman"/>
          <w:iCs/>
          <w:lang w:val="en-US"/>
        </w:rPr>
        <w:t xml:space="preserve">with </w:t>
      </w:r>
      <w:r w:rsidR="00217955" w:rsidRPr="00043D52">
        <w:rPr>
          <w:rFonts w:ascii="Palatino Linotype" w:hAnsi="Palatino Linotype" w:cs="Times New Roman"/>
          <w:iCs/>
          <w:lang w:val="en-US"/>
        </w:rPr>
        <w:t xml:space="preserve">participants </w:t>
      </w:r>
      <w:r w:rsidR="00150AB0" w:rsidRPr="00043D52">
        <w:rPr>
          <w:rFonts w:ascii="Palatino Linotype" w:hAnsi="Palatino Linotype" w:cs="Times New Roman"/>
          <w:iCs/>
          <w:lang w:val="en-US"/>
        </w:rPr>
        <w:t xml:space="preserve">often </w:t>
      </w:r>
      <w:r w:rsidRPr="00043D52">
        <w:rPr>
          <w:rFonts w:ascii="Palatino Linotype" w:hAnsi="Palatino Linotype" w:cs="Times New Roman"/>
          <w:iCs/>
          <w:lang w:val="en-US"/>
        </w:rPr>
        <w:t>partnering</w:t>
      </w:r>
      <w:r w:rsidR="00150AB0" w:rsidRPr="00043D52">
        <w:rPr>
          <w:rFonts w:ascii="Palatino Linotype" w:hAnsi="Palatino Linotype" w:cs="Times New Roman"/>
          <w:iCs/>
          <w:lang w:val="en-US"/>
        </w:rPr>
        <w:t xml:space="preserve"> with professionals from other disciplines including social work, urban planning and business</w:t>
      </w:r>
      <w:r w:rsidRPr="00043D52">
        <w:rPr>
          <w:rFonts w:ascii="Palatino Linotype" w:hAnsi="Palatino Linotype" w:cs="Times New Roman"/>
          <w:iCs/>
          <w:lang w:val="en-US"/>
        </w:rPr>
        <w:t xml:space="preserve"> administration</w:t>
      </w:r>
      <w:r w:rsidR="00150AB0" w:rsidRPr="00043D52">
        <w:rPr>
          <w:rFonts w:ascii="Palatino Linotype" w:hAnsi="Palatino Linotype" w:cs="Times New Roman"/>
          <w:i/>
          <w:iCs/>
          <w:lang w:val="en-US"/>
        </w:rPr>
        <w:t>.</w:t>
      </w:r>
      <w:r w:rsidR="00150AB0" w:rsidRPr="00043D52">
        <w:rPr>
          <w:rStyle w:val="FootnoteReference"/>
          <w:rFonts w:ascii="Palatino Linotype" w:hAnsi="Palatino Linotype" w:cs="Times New Roman"/>
          <w:iCs/>
          <w:lang w:val="en-US"/>
        </w:rPr>
        <w:footnoteReference w:id="38"/>
      </w:r>
    </w:p>
    <w:p w14:paraId="0C7DC284" w14:textId="3982733D" w:rsidR="00150AB0" w:rsidRPr="00043D52" w:rsidRDefault="00150AB0" w:rsidP="0091111C">
      <w:pPr>
        <w:spacing w:line="480" w:lineRule="auto"/>
        <w:jc w:val="both"/>
        <w:rPr>
          <w:rFonts w:ascii="Palatino Linotype" w:hAnsi="Palatino Linotype" w:cs="Times New Roman"/>
          <w:iCs/>
          <w:lang w:val="en-US"/>
        </w:rPr>
      </w:pPr>
      <w:r w:rsidRPr="00043D52">
        <w:rPr>
          <w:rFonts w:ascii="Palatino Linotype" w:hAnsi="Palatino Linotype" w:cs="Times New Roman"/>
          <w:iCs/>
          <w:lang w:val="en-US"/>
        </w:rPr>
        <w:t xml:space="preserve">Ultimately, however, what really sets </w:t>
      </w:r>
      <w:r w:rsidR="00D32120" w:rsidRPr="00043D52">
        <w:rPr>
          <w:rFonts w:ascii="Palatino Linotype" w:hAnsi="Palatino Linotype" w:cs="Times New Roman"/>
          <w:iCs/>
          <w:lang w:val="en-US"/>
        </w:rPr>
        <w:t xml:space="preserve">US </w:t>
      </w:r>
      <w:r w:rsidRPr="00043D52">
        <w:rPr>
          <w:rFonts w:ascii="Palatino Linotype" w:hAnsi="Palatino Linotype" w:cs="Times New Roman"/>
          <w:iCs/>
          <w:lang w:val="en-US"/>
        </w:rPr>
        <w:t xml:space="preserve">community lawyering apart from more traditional CLE models is the emphasis on longer term community change. </w:t>
      </w:r>
      <w:proofErr w:type="spellStart"/>
      <w:r w:rsidRPr="00043D52">
        <w:rPr>
          <w:rFonts w:ascii="Palatino Linotype" w:hAnsi="Palatino Linotype" w:cs="Times New Roman"/>
          <w:iCs/>
          <w:lang w:val="en-US"/>
        </w:rPr>
        <w:t>Torkaz</w:t>
      </w:r>
      <w:proofErr w:type="spellEnd"/>
      <w:r w:rsidRPr="00043D52">
        <w:rPr>
          <w:rFonts w:ascii="Palatino Linotype" w:hAnsi="Palatino Linotype" w:cs="Times New Roman"/>
          <w:iCs/>
          <w:lang w:val="en-US"/>
        </w:rPr>
        <w:t xml:space="preserve"> writes of community lawyering “transcending individualized claims” in order to </w:t>
      </w:r>
      <w:r w:rsidRPr="00043D52">
        <w:rPr>
          <w:rFonts w:ascii="Palatino Linotype" w:hAnsi="Palatino Linotype" w:cs="Times New Roman"/>
          <w:iCs/>
          <w:lang w:val="en-US"/>
        </w:rPr>
        <w:lastRenderedPageBreak/>
        <w:t>achieve real “structural change” in the community.</w:t>
      </w:r>
      <w:r w:rsidRPr="00043D52">
        <w:rPr>
          <w:rStyle w:val="FootnoteReference"/>
          <w:rFonts w:ascii="Palatino Linotype" w:hAnsi="Palatino Linotype" w:cs="Times New Roman"/>
          <w:iCs/>
          <w:lang w:val="en-US"/>
        </w:rPr>
        <w:footnoteReference w:id="39"/>
      </w:r>
      <w:r w:rsidRPr="00043D52">
        <w:rPr>
          <w:rFonts w:ascii="Palatino Linotype" w:hAnsi="Palatino Linotype" w:cs="Times New Roman"/>
          <w:iCs/>
          <w:lang w:val="en-US"/>
        </w:rPr>
        <w:t xml:space="preserve"> The method involves working </w:t>
      </w:r>
      <w:r w:rsidRPr="00043D52">
        <w:rPr>
          <w:rFonts w:ascii="Palatino Linotype" w:hAnsi="Palatino Linotype" w:cs="Times New Roman"/>
          <w:i/>
          <w:iCs/>
          <w:lang w:val="en-US"/>
        </w:rPr>
        <w:t>with</w:t>
      </w:r>
      <w:r w:rsidRPr="00043D52">
        <w:rPr>
          <w:rFonts w:ascii="Palatino Linotype" w:hAnsi="Palatino Linotype" w:cs="Times New Roman"/>
          <w:iCs/>
          <w:lang w:val="en-US"/>
        </w:rPr>
        <w:t xml:space="preserve"> rather than </w:t>
      </w:r>
      <w:r w:rsidRPr="00043D52">
        <w:rPr>
          <w:rFonts w:ascii="Palatino Linotype" w:hAnsi="Palatino Linotype" w:cs="Times New Roman"/>
          <w:i/>
          <w:iCs/>
          <w:lang w:val="en-US"/>
        </w:rPr>
        <w:t>for</w:t>
      </w:r>
      <w:r w:rsidRPr="00043D52">
        <w:rPr>
          <w:rFonts w:ascii="Palatino Linotype" w:hAnsi="Palatino Linotype" w:cs="Times New Roman"/>
          <w:iCs/>
          <w:lang w:val="en-US"/>
        </w:rPr>
        <w:t xml:space="preserve"> the community to deliver lasting change. It is this deeper level of collaboration and promotion of self-determination in society that can yield real and sustained benefits for communities not to mention life changing experiences for students involved. </w:t>
      </w:r>
      <w:r w:rsidR="00ED4753" w:rsidRPr="00043D52">
        <w:rPr>
          <w:rFonts w:ascii="Palatino Linotype" w:hAnsi="Palatino Linotype" w:cs="Times New Roman"/>
          <w:iCs/>
          <w:lang w:val="en-US"/>
        </w:rPr>
        <w:t>In this way,</w:t>
      </w:r>
      <w:r w:rsidR="00217955" w:rsidRPr="00043D52">
        <w:rPr>
          <w:rFonts w:ascii="Palatino Linotype" w:hAnsi="Palatino Linotype" w:cs="Times New Roman"/>
          <w:iCs/>
          <w:lang w:val="en-US"/>
        </w:rPr>
        <w:t xml:space="preserve"> co</w:t>
      </w:r>
      <w:r w:rsidRPr="00043D52">
        <w:rPr>
          <w:rFonts w:ascii="Palatino Linotype" w:hAnsi="Palatino Linotype" w:cs="Times New Roman"/>
          <w:iCs/>
          <w:lang w:val="en-US"/>
        </w:rPr>
        <w:t>mmunity lawyering</w:t>
      </w:r>
      <w:r w:rsidR="00217955" w:rsidRPr="00043D52">
        <w:rPr>
          <w:rFonts w:ascii="Palatino Linotype" w:hAnsi="Palatino Linotype" w:cs="Times New Roman"/>
          <w:iCs/>
          <w:lang w:val="en-US"/>
        </w:rPr>
        <w:t xml:space="preserve"> models</w:t>
      </w:r>
      <w:r w:rsidRPr="00043D52">
        <w:rPr>
          <w:rFonts w:ascii="Palatino Linotype" w:hAnsi="Palatino Linotype" w:cs="Times New Roman"/>
          <w:iCs/>
          <w:lang w:val="en-US"/>
        </w:rPr>
        <w:t xml:space="preserve"> ha</w:t>
      </w:r>
      <w:r w:rsidR="00ED4753" w:rsidRPr="00043D52">
        <w:rPr>
          <w:rFonts w:ascii="Palatino Linotype" w:hAnsi="Palatino Linotype" w:cs="Times New Roman"/>
          <w:iCs/>
          <w:lang w:val="en-US"/>
        </w:rPr>
        <w:t>ve</w:t>
      </w:r>
      <w:r w:rsidRPr="00043D52">
        <w:rPr>
          <w:rFonts w:ascii="Palatino Linotype" w:hAnsi="Palatino Linotype" w:cs="Times New Roman"/>
          <w:iCs/>
          <w:lang w:val="en-US"/>
        </w:rPr>
        <w:t xml:space="preserve"> made a unique contribution to CLE in the </w:t>
      </w:r>
      <w:r w:rsidR="00217955" w:rsidRPr="00043D52">
        <w:rPr>
          <w:rFonts w:ascii="Palatino Linotype" w:hAnsi="Palatino Linotype" w:cs="Times New Roman"/>
          <w:iCs/>
          <w:lang w:val="en-US"/>
        </w:rPr>
        <w:t>US</w:t>
      </w:r>
      <w:r w:rsidRPr="00043D52">
        <w:rPr>
          <w:rFonts w:ascii="Palatino Linotype" w:hAnsi="Palatino Linotype" w:cs="Times New Roman"/>
          <w:iCs/>
          <w:lang w:val="en-US"/>
        </w:rPr>
        <w:t>.</w:t>
      </w:r>
      <w:r w:rsidRPr="00043D52">
        <w:rPr>
          <w:rStyle w:val="FootnoteReference"/>
          <w:rFonts w:ascii="Palatino Linotype" w:hAnsi="Palatino Linotype" w:cs="Times New Roman"/>
          <w:iCs/>
          <w:lang w:val="en-US"/>
        </w:rPr>
        <w:footnoteReference w:id="40"/>
      </w:r>
      <w:r w:rsidRPr="00043D52">
        <w:rPr>
          <w:rFonts w:ascii="Palatino Linotype" w:hAnsi="Palatino Linotype" w:cs="Times New Roman"/>
          <w:iCs/>
          <w:lang w:val="en-US"/>
        </w:rPr>
        <w:t xml:space="preserve"> </w:t>
      </w:r>
      <w:r w:rsidR="00ED4753" w:rsidRPr="00043D52">
        <w:rPr>
          <w:rFonts w:ascii="Palatino Linotype" w:hAnsi="Palatino Linotype" w:cs="Times New Roman"/>
          <w:iCs/>
          <w:lang w:val="en-US"/>
        </w:rPr>
        <w:t>The</w:t>
      </w:r>
      <w:r w:rsidRPr="00043D52">
        <w:rPr>
          <w:rFonts w:ascii="Palatino Linotype" w:hAnsi="Palatino Linotype" w:cs="Times New Roman"/>
          <w:iCs/>
          <w:lang w:val="en-US"/>
        </w:rPr>
        <w:t xml:space="preserve"> emphasis on the interdisciplinary context of social problems has led US lawyers (and students</w:t>
      </w:r>
      <w:r w:rsidR="00ED4753" w:rsidRPr="00043D52">
        <w:rPr>
          <w:rFonts w:ascii="Palatino Linotype" w:hAnsi="Palatino Linotype" w:cs="Times New Roman"/>
          <w:iCs/>
          <w:lang w:val="en-US"/>
        </w:rPr>
        <w:t>)</w:t>
      </w:r>
      <w:r w:rsidRPr="00043D52">
        <w:rPr>
          <w:rFonts w:ascii="Palatino Linotype" w:hAnsi="Palatino Linotype" w:cs="Times New Roman"/>
          <w:iCs/>
          <w:lang w:val="en-US"/>
        </w:rPr>
        <w:t xml:space="preserve"> to deeply appreciate and </w:t>
      </w:r>
      <w:r w:rsidR="00ED4753" w:rsidRPr="00043D52">
        <w:rPr>
          <w:rFonts w:ascii="Palatino Linotype" w:hAnsi="Palatino Linotype" w:cs="Times New Roman"/>
          <w:iCs/>
          <w:lang w:val="en-US"/>
        </w:rPr>
        <w:t xml:space="preserve">even </w:t>
      </w:r>
      <w:r w:rsidRPr="00043D52">
        <w:rPr>
          <w:rFonts w:ascii="Palatino Linotype" w:hAnsi="Palatino Linotype" w:cs="Times New Roman"/>
          <w:iCs/>
          <w:lang w:val="en-US"/>
        </w:rPr>
        <w:t xml:space="preserve">take on roles that fall outside of conventional legal work – </w:t>
      </w:r>
      <w:r w:rsidR="00ED4753" w:rsidRPr="00043D52">
        <w:rPr>
          <w:rFonts w:ascii="Palatino Linotype" w:hAnsi="Palatino Linotype" w:cs="Times New Roman"/>
          <w:iCs/>
          <w:lang w:val="en-US"/>
        </w:rPr>
        <w:t>such as</w:t>
      </w:r>
      <w:r w:rsidRPr="00043D52">
        <w:rPr>
          <w:rFonts w:ascii="Palatino Linotype" w:hAnsi="Palatino Linotype" w:cs="Times New Roman"/>
          <w:iCs/>
          <w:lang w:val="en-US"/>
        </w:rPr>
        <w:t xml:space="preserve"> community organizers, anthropologists, or social workers.</w:t>
      </w:r>
      <w:r w:rsidRPr="00043D52">
        <w:rPr>
          <w:rStyle w:val="FootnoteReference"/>
          <w:rFonts w:ascii="Palatino Linotype" w:hAnsi="Palatino Linotype" w:cs="Times New Roman"/>
          <w:iCs/>
          <w:lang w:val="en-US"/>
        </w:rPr>
        <w:footnoteReference w:id="41"/>
      </w:r>
      <w:r w:rsidRPr="00043D52">
        <w:rPr>
          <w:rFonts w:ascii="Palatino Linotype" w:hAnsi="Palatino Linotype" w:cs="Times New Roman"/>
          <w:iCs/>
          <w:lang w:val="en-US"/>
        </w:rPr>
        <w:t xml:space="preserve"> </w:t>
      </w:r>
    </w:p>
    <w:p w14:paraId="1FC6B446" w14:textId="77777777" w:rsidR="005459C3" w:rsidRDefault="005459C3" w:rsidP="0091111C">
      <w:pPr>
        <w:spacing w:line="480" w:lineRule="auto"/>
        <w:jc w:val="both"/>
        <w:rPr>
          <w:rFonts w:ascii="Palatino Linotype" w:hAnsi="Palatino Linotype" w:cs="Times New Roman"/>
          <w:b/>
          <w:iCs/>
          <w:lang w:val="en-US"/>
        </w:rPr>
      </w:pPr>
    </w:p>
    <w:p w14:paraId="78B0BAD6" w14:textId="0F0CA0D7" w:rsidR="00150AB0" w:rsidRPr="005459C3" w:rsidRDefault="005459C3" w:rsidP="0091111C">
      <w:pPr>
        <w:spacing w:line="480" w:lineRule="auto"/>
        <w:jc w:val="both"/>
        <w:rPr>
          <w:rFonts w:ascii="Palatino Linotype" w:hAnsi="Palatino Linotype" w:cs="Times New Roman"/>
        </w:rPr>
      </w:pPr>
      <w:r w:rsidRPr="005459C3">
        <w:rPr>
          <w:rFonts w:ascii="Palatino Linotype" w:hAnsi="Palatino Linotype" w:cs="Times New Roman"/>
          <w:iCs/>
          <w:lang w:val="en-US"/>
        </w:rPr>
        <w:t xml:space="preserve">PART III: THE BENEFITS OF </w:t>
      </w:r>
      <w:r w:rsidRPr="005459C3">
        <w:rPr>
          <w:rFonts w:ascii="Palatino Linotype" w:hAnsi="Palatino Linotype" w:cs="Times New Roman"/>
        </w:rPr>
        <w:t>COMMUNITY LAWYERING CLINICS</w:t>
      </w:r>
    </w:p>
    <w:p w14:paraId="75F8F044" w14:textId="77777777" w:rsidR="00013A36" w:rsidRDefault="00013A36" w:rsidP="003E2124">
      <w:pPr>
        <w:spacing w:line="480" w:lineRule="auto"/>
        <w:jc w:val="both"/>
        <w:rPr>
          <w:rFonts w:ascii="Palatino Linotype" w:hAnsi="Palatino Linotype" w:cs="Times New Roman"/>
        </w:rPr>
      </w:pPr>
    </w:p>
    <w:p w14:paraId="2EFCAF56" w14:textId="1D6B8FDF" w:rsidR="00150AB0" w:rsidRPr="00043D52" w:rsidRDefault="00150AB0" w:rsidP="003E2124">
      <w:pPr>
        <w:spacing w:line="480" w:lineRule="auto"/>
        <w:jc w:val="both"/>
        <w:rPr>
          <w:rFonts w:ascii="Palatino Linotype" w:hAnsi="Palatino Linotype" w:cs="Times New Roman"/>
          <w:iCs/>
        </w:rPr>
      </w:pPr>
      <w:r w:rsidRPr="00043D52">
        <w:rPr>
          <w:rFonts w:ascii="Palatino Linotype" w:hAnsi="Palatino Linotype" w:cs="Times New Roman"/>
        </w:rPr>
        <w:t xml:space="preserve">Community lawyering clinics </w:t>
      </w:r>
      <w:r w:rsidR="00DA1A3C" w:rsidRPr="00043D52">
        <w:rPr>
          <w:rFonts w:ascii="Palatino Linotype" w:hAnsi="Palatino Linotype" w:cs="Times New Roman"/>
        </w:rPr>
        <w:t>can</w:t>
      </w:r>
      <w:r w:rsidRPr="00043D52">
        <w:rPr>
          <w:rFonts w:ascii="Palatino Linotype" w:hAnsi="Palatino Linotype" w:cs="Times New Roman"/>
        </w:rPr>
        <w:t xml:space="preserve"> </w:t>
      </w:r>
      <w:r w:rsidRPr="00043D52">
        <w:rPr>
          <w:rFonts w:ascii="Palatino Linotype" w:hAnsi="Palatino Linotype" w:cs="Times New Roman"/>
          <w:iCs/>
          <w:lang w:val="en-US"/>
        </w:rPr>
        <w:t>improve l</w:t>
      </w:r>
      <w:r w:rsidR="00ED4753" w:rsidRPr="00043D52">
        <w:rPr>
          <w:rFonts w:ascii="Palatino Linotype" w:hAnsi="Palatino Linotype" w:cs="Times New Roman"/>
          <w:iCs/>
          <w:lang w:val="en-US"/>
        </w:rPr>
        <w:t>aw</w:t>
      </w:r>
      <w:r w:rsidRPr="00043D52">
        <w:rPr>
          <w:rFonts w:ascii="Palatino Linotype" w:hAnsi="Palatino Linotype" w:cs="Times New Roman"/>
          <w:iCs/>
          <w:lang w:val="en-US"/>
        </w:rPr>
        <w:t xml:space="preserve"> teaching and learning, raise social justice awareness of law students and enhance the role of law and lawyers in society by helping law students to develop their social justice consciousness and take on the challenges of addressing social issues in systematic ways.</w:t>
      </w:r>
      <w:r w:rsidRPr="00043D52">
        <w:rPr>
          <w:rStyle w:val="FootnoteReference"/>
          <w:rFonts w:ascii="Palatino Linotype" w:hAnsi="Palatino Linotype" w:cs="Times New Roman"/>
          <w:iCs/>
          <w:lang w:val="en-US"/>
        </w:rPr>
        <w:footnoteReference w:id="42"/>
      </w:r>
      <w:r w:rsidRPr="00043D52">
        <w:rPr>
          <w:rFonts w:ascii="Palatino Linotype" w:hAnsi="Palatino Linotype" w:cs="Times New Roman"/>
          <w:iCs/>
          <w:lang w:val="en-US"/>
        </w:rPr>
        <w:t xml:space="preserve"> </w:t>
      </w:r>
      <w:r w:rsidRPr="00043D52">
        <w:rPr>
          <w:rFonts w:ascii="Palatino Linotype" w:hAnsi="Palatino Linotype" w:cs="Times New Roman"/>
          <w:iCs/>
        </w:rPr>
        <w:t xml:space="preserve">Karin and </w:t>
      </w:r>
      <w:proofErr w:type="spellStart"/>
      <w:r w:rsidRPr="00043D52">
        <w:rPr>
          <w:rFonts w:ascii="Palatino Linotype" w:hAnsi="Palatino Linotype" w:cs="Times New Roman"/>
          <w:iCs/>
        </w:rPr>
        <w:t>Runge</w:t>
      </w:r>
      <w:proofErr w:type="spellEnd"/>
      <w:r w:rsidRPr="00043D52">
        <w:rPr>
          <w:rFonts w:ascii="Palatino Linotype" w:hAnsi="Palatino Linotype" w:cs="Times New Roman"/>
          <w:iCs/>
        </w:rPr>
        <w:t xml:space="preserve"> assert that community lawyering clinics have an important role in teaching students about </w:t>
      </w:r>
      <w:r w:rsidRPr="00043D52">
        <w:rPr>
          <w:rFonts w:ascii="Palatino Linotype" w:hAnsi="Palatino Linotype" w:cs="Times New Roman"/>
          <w:iCs/>
        </w:rPr>
        <w:lastRenderedPageBreak/>
        <w:t>social justice and the role of lawyers in creating social change, and instilling a community service/</w:t>
      </w:r>
      <w:r w:rsidRPr="00043D52">
        <w:rPr>
          <w:rFonts w:ascii="Palatino Linotype" w:hAnsi="Palatino Linotype" w:cs="Times New Roman"/>
          <w:i/>
          <w:iCs/>
        </w:rPr>
        <w:t>pro bono</w:t>
      </w:r>
      <w:r w:rsidRPr="00043D52">
        <w:rPr>
          <w:rFonts w:ascii="Palatino Linotype" w:hAnsi="Palatino Linotype" w:cs="Times New Roman"/>
          <w:iCs/>
        </w:rPr>
        <w:t xml:space="preserve"> ethos:</w:t>
      </w:r>
    </w:p>
    <w:p w14:paraId="2EDF3901" w14:textId="1E76AD35" w:rsidR="00150AB0" w:rsidRPr="00043D52" w:rsidRDefault="00013A36" w:rsidP="00013A36">
      <w:pPr>
        <w:spacing w:line="360" w:lineRule="auto"/>
        <w:ind w:left="720"/>
        <w:jc w:val="both"/>
        <w:rPr>
          <w:rFonts w:ascii="Palatino Linotype" w:hAnsi="Palatino Linotype" w:cs="Times New Roman"/>
          <w:i/>
          <w:iCs/>
        </w:rPr>
      </w:pPr>
      <w:r>
        <w:rPr>
          <w:rFonts w:ascii="Palatino Linotype" w:hAnsi="Palatino Linotype" w:cs="Times New Roman"/>
          <w:i/>
          <w:iCs/>
        </w:rPr>
        <w:t>”</w:t>
      </w:r>
      <w:r w:rsidR="00150AB0" w:rsidRPr="00043D52">
        <w:rPr>
          <w:rFonts w:ascii="Palatino Linotype" w:hAnsi="Palatino Linotype" w:cs="Times New Roman"/>
          <w:i/>
          <w:iCs/>
        </w:rPr>
        <w:t>We believe that law clinics can be designed to teach students that lawyers have a variety of strategies and legal tools at their disposal to create social change, including individual representation, organizational representation, community education, and policy advocacy.”</w:t>
      </w:r>
      <w:r w:rsidR="00150AB0" w:rsidRPr="00043D52">
        <w:rPr>
          <w:rStyle w:val="FootnoteReference"/>
          <w:rFonts w:ascii="Palatino Linotype" w:hAnsi="Palatino Linotype" w:cs="Times New Roman"/>
          <w:iCs/>
        </w:rPr>
        <w:footnoteReference w:id="43"/>
      </w:r>
      <w:r w:rsidR="00150AB0" w:rsidRPr="00043D52">
        <w:rPr>
          <w:rFonts w:ascii="Palatino Linotype" w:hAnsi="Palatino Linotype" w:cs="Times New Roman"/>
          <w:i/>
          <w:iCs/>
        </w:rPr>
        <w:t xml:space="preserve"> </w:t>
      </w:r>
    </w:p>
    <w:p w14:paraId="7D3D8809" w14:textId="7CA9D442"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Further, Goldfarb argues th</w:t>
      </w:r>
      <w:r w:rsidR="00DA1A3C" w:rsidRPr="00043D52">
        <w:rPr>
          <w:rFonts w:ascii="Palatino Linotype" w:hAnsi="Palatino Linotype" w:cs="Times New Roman"/>
        </w:rPr>
        <w:t>ey can</w:t>
      </w:r>
      <w:r w:rsidRPr="00043D52">
        <w:rPr>
          <w:rFonts w:ascii="Palatino Linotype" w:hAnsi="Palatino Linotype" w:cs="Times New Roman"/>
        </w:rPr>
        <w:t xml:space="preserve"> provide a</w:t>
      </w:r>
      <w:r w:rsidR="00DA1A3C" w:rsidRPr="00043D52">
        <w:rPr>
          <w:rFonts w:ascii="Palatino Linotype" w:hAnsi="Palatino Linotype" w:cs="Times New Roman"/>
        </w:rPr>
        <w:t xml:space="preserve"> real</w:t>
      </w:r>
      <w:r w:rsidRPr="00043D52">
        <w:rPr>
          <w:rFonts w:ascii="Palatino Linotype" w:hAnsi="Palatino Linotype" w:cs="Times New Roman"/>
        </w:rPr>
        <w:t xml:space="preserve"> sense of professional purpose; “the prospect that professional identity can serve a public good greater than oneself ... that can enable law graduates to thrive in their professional lives and to contribute at the same time to the thriving of others.”</w:t>
      </w:r>
      <w:r w:rsidRPr="00043D52">
        <w:rPr>
          <w:rStyle w:val="FootnoteReference"/>
          <w:rFonts w:ascii="Palatino Linotype" w:hAnsi="Palatino Linotype" w:cs="Times New Roman"/>
        </w:rPr>
        <w:footnoteReference w:id="44"/>
      </w:r>
      <w:r w:rsidRPr="00043D52">
        <w:rPr>
          <w:rFonts w:ascii="Palatino Linotype" w:hAnsi="Palatino Linotype" w:cs="Times New Roman"/>
        </w:rPr>
        <w:t xml:space="preserve"> </w:t>
      </w:r>
      <w:r w:rsidR="00DA1A3C" w:rsidRPr="00043D52">
        <w:rPr>
          <w:rFonts w:ascii="Palatino Linotype" w:hAnsi="Palatino Linotype" w:cs="Times New Roman"/>
        </w:rPr>
        <w:t>A</w:t>
      </w:r>
      <w:r w:rsidRPr="00043D52">
        <w:rPr>
          <w:rFonts w:ascii="Palatino Linotype" w:hAnsi="Palatino Linotype" w:cs="Times New Roman"/>
        </w:rPr>
        <w:t xml:space="preserve"> sense of professional identity is the ‘third apprenticeship’ of identity and purpose identified in the Carnegie Report.</w:t>
      </w:r>
      <w:r w:rsidRPr="00043D52">
        <w:rPr>
          <w:rStyle w:val="FootnoteReference"/>
          <w:rFonts w:ascii="Palatino Linotype" w:hAnsi="Palatino Linotype" w:cs="Times New Roman"/>
        </w:rPr>
        <w:footnoteReference w:id="45"/>
      </w:r>
      <w:r w:rsidRPr="00043D52">
        <w:rPr>
          <w:rFonts w:ascii="Palatino Linotype" w:hAnsi="Palatino Linotype" w:cs="Times New Roman"/>
        </w:rPr>
        <w:t xml:space="preserve"> </w:t>
      </w:r>
    </w:p>
    <w:p w14:paraId="3C98B58F" w14:textId="1A40DCF1"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Community lawyering </w:t>
      </w:r>
      <w:r w:rsidR="00DA1A3C" w:rsidRPr="00043D52">
        <w:rPr>
          <w:rFonts w:ascii="Palatino Linotype" w:hAnsi="Palatino Linotype" w:cs="Times New Roman"/>
        </w:rPr>
        <w:t>models</w:t>
      </w:r>
      <w:r w:rsidRPr="00043D52">
        <w:rPr>
          <w:rFonts w:ascii="Palatino Linotype" w:hAnsi="Palatino Linotype" w:cs="Times New Roman"/>
        </w:rPr>
        <w:t xml:space="preserve"> </w:t>
      </w:r>
      <w:r w:rsidR="00DA1A3C" w:rsidRPr="00043D52">
        <w:rPr>
          <w:rFonts w:ascii="Palatino Linotype" w:hAnsi="Palatino Linotype" w:cs="Times New Roman"/>
        </w:rPr>
        <w:t xml:space="preserve">can </w:t>
      </w:r>
      <w:r w:rsidRPr="00043D52">
        <w:rPr>
          <w:rFonts w:ascii="Palatino Linotype" w:hAnsi="Palatino Linotype" w:cs="Times New Roman"/>
        </w:rPr>
        <w:t>thus provide a meaningful experiential learning opportunity where students can make an impact outside the classroom. Importantly, they bring students out of the protective environment of the university and</w:t>
      </w:r>
      <w:r w:rsidR="00DA1A3C" w:rsidRPr="00043D52">
        <w:rPr>
          <w:rFonts w:ascii="Palatino Linotype" w:hAnsi="Palatino Linotype" w:cs="Times New Roman"/>
        </w:rPr>
        <w:t>, as Barry remarks,</w:t>
      </w:r>
      <w:r w:rsidRPr="00043D52">
        <w:rPr>
          <w:rFonts w:ascii="Palatino Linotype" w:hAnsi="Palatino Linotype" w:cs="Times New Roman"/>
        </w:rPr>
        <w:t xml:space="preserve"> “into the community – often to physical locations and social situations that students have not encountered before.”</w:t>
      </w:r>
      <w:r w:rsidRPr="00043D52">
        <w:rPr>
          <w:rStyle w:val="FootnoteReference"/>
          <w:rFonts w:ascii="Palatino Linotype" w:hAnsi="Palatino Linotype" w:cs="Times New Roman"/>
        </w:rPr>
        <w:footnoteReference w:id="46"/>
      </w:r>
      <w:r w:rsidRPr="00043D52">
        <w:rPr>
          <w:rFonts w:ascii="Palatino Linotype" w:hAnsi="Palatino Linotype" w:cs="Times New Roman"/>
        </w:rPr>
        <w:t xml:space="preserve"> Such experiential learning enables students to develop a more holistic professional identity by creating opportunities for self-</w:t>
      </w:r>
      <w:r w:rsidRPr="00043D52">
        <w:rPr>
          <w:rFonts w:ascii="Palatino Linotype" w:hAnsi="Palatino Linotype" w:cs="Times New Roman"/>
        </w:rPr>
        <w:lastRenderedPageBreak/>
        <w:t>reflection and for the development of “a deeper and more nuanced understanding of social issues confronting their clients and the broader community.”</w:t>
      </w:r>
      <w:r w:rsidRPr="00043D52">
        <w:rPr>
          <w:rStyle w:val="FootnoteReference"/>
          <w:rFonts w:ascii="Palatino Linotype" w:hAnsi="Palatino Linotype" w:cs="Times New Roman"/>
        </w:rPr>
        <w:footnoteReference w:id="47"/>
      </w:r>
      <w:r w:rsidRPr="00043D52">
        <w:rPr>
          <w:rFonts w:ascii="Palatino Linotype" w:hAnsi="Palatino Linotype" w:cs="Times New Roman"/>
        </w:rPr>
        <w:t xml:space="preserve"> </w:t>
      </w:r>
    </w:p>
    <w:p w14:paraId="497A0531" w14:textId="77777777"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In addition to the benefits for student learning, community lawyering clinics also provide significant benefits in addressing social justice issues by allowing students, academics and communities to work together to address social problems. Golden argues that complex social problems can more readily be solved by lawyers working collaboratively with community and with other disciplines.</w:t>
      </w:r>
      <w:r w:rsidRPr="00043D52">
        <w:rPr>
          <w:rStyle w:val="FootnoteReference"/>
          <w:rFonts w:ascii="Palatino Linotype" w:hAnsi="Palatino Linotype" w:cs="Times New Roman"/>
        </w:rPr>
        <w:footnoteReference w:id="48"/>
      </w:r>
      <w:r w:rsidRPr="00043D52">
        <w:rPr>
          <w:rFonts w:ascii="Palatino Linotype" w:hAnsi="Palatino Linotype" w:cs="Times New Roman"/>
        </w:rPr>
        <w:t xml:space="preserve">  </w:t>
      </w:r>
    </w:p>
    <w:p w14:paraId="69260543" w14:textId="6AF2C079"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The inclusion of interdisciplinary work is a crucial innovation as it “deepens the ability of lawyers and law students to speak languages outside their comfort zones and enhances their ability to identify and cultivate additional resources and partners.”</w:t>
      </w:r>
      <w:r w:rsidRPr="00043D52">
        <w:rPr>
          <w:rStyle w:val="FootnoteReference"/>
          <w:rFonts w:ascii="Palatino Linotype" w:hAnsi="Palatino Linotype" w:cs="Times New Roman"/>
        </w:rPr>
        <w:footnoteReference w:id="49"/>
      </w:r>
      <w:r w:rsidRPr="00043D52">
        <w:rPr>
          <w:rFonts w:ascii="Palatino Linotype" w:hAnsi="Palatino Linotype" w:cs="Times New Roman"/>
        </w:rPr>
        <w:t xml:space="preserve">  As noted above, the community lawyering model</w:t>
      </w:r>
      <w:r w:rsidR="00ED4753" w:rsidRPr="00043D52">
        <w:rPr>
          <w:rFonts w:ascii="Palatino Linotype" w:hAnsi="Palatino Linotype" w:cs="Times New Roman"/>
        </w:rPr>
        <w:t xml:space="preserve"> which emerged from the US</w:t>
      </w:r>
      <w:r w:rsidRPr="00043D52">
        <w:rPr>
          <w:rFonts w:ascii="Palatino Linotype" w:hAnsi="Palatino Linotype" w:cs="Times New Roman"/>
        </w:rPr>
        <w:t xml:space="preserve"> is uniquely suited to students engaging in interdisciplinary work. Its focus on </w:t>
      </w:r>
      <w:r w:rsidR="00DA1A3C" w:rsidRPr="00043D52">
        <w:rPr>
          <w:rFonts w:ascii="Palatino Linotype" w:hAnsi="Palatino Linotype" w:cs="Times New Roman"/>
        </w:rPr>
        <w:t>broader</w:t>
      </w:r>
      <w:r w:rsidRPr="00043D52">
        <w:rPr>
          <w:rFonts w:ascii="Palatino Linotype" w:hAnsi="Palatino Linotype" w:cs="Times New Roman"/>
        </w:rPr>
        <w:t xml:space="preserve"> problem solving (rather than strict legal analysis and application) encourages a holistic approach to community empowerment spanning non-legal disciplines like social work, mental health, information technology</w:t>
      </w:r>
      <w:r w:rsidR="00DA1A3C" w:rsidRPr="00043D52">
        <w:rPr>
          <w:rFonts w:ascii="Palatino Linotype" w:hAnsi="Palatino Linotype" w:cs="Times New Roman"/>
        </w:rPr>
        <w:t>, design</w:t>
      </w:r>
      <w:r w:rsidRPr="00043D52">
        <w:rPr>
          <w:rFonts w:ascii="Palatino Linotype" w:hAnsi="Palatino Linotype" w:cs="Times New Roman"/>
        </w:rPr>
        <w:t xml:space="preserve"> and business administration.</w:t>
      </w:r>
      <w:r w:rsidRPr="00043D52">
        <w:rPr>
          <w:rStyle w:val="FootnoteReference"/>
          <w:rFonts w:ascii="Palatino Linotype" w:hAnsi="Palatino Linotype" w:cs="Times New Roman"/>
        </w:rPr>
        <w:footnoteReference w:id="50"/>
      </w:r>
    </w:p>
    <w:p w14:paraId="72A4BAB9" w14:textId="15051F06"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Lastly, </w:t>
      </w:r>
      <w:r w:rsidR="00E22219" w:rsidRPr="00043D52">
        <w:rPr>
          <w:rFonts w:ascii="Palatino Linotype" w:hAnsi="Palatino Linotype" w:cs="Times New Roman"/>
        </w:rPr>
        <w:t xml:space="preserve">as Barry remarks, </w:t>
      </w:r>
      <w:r w:rsidRPr="00043D52">
        <w:rPr>
          <w:rFonts w:ascii="Palatino Linotype" w:hAnsi="Palatino Linotype" w:cs="Times New Roman"/>
        </w:rPr>
        <w:t>community lawyering clinic</w:t>
      </w:r>
      <w:r w:rsidR="00E22219" w:rsidRPr="00043D52">
        <w:rPr>
          <w:rFonts w:ascii="Palatino Linotype" w:hAnsi="Palatino Linotype" w:cs="Times New Roman"/>
        </w:rPr>
        <w:t>s can</w:t>
      </w:r>
      <w:r w:rsidRPr="00043D52">
        <w:rPr>
          <w:rFonts w:ascii="Palatino Linotype" w:hAnsi="Palatino Linotype" w:cs="Times New Roman"/>
        </w:rPr>
        <w:t xml:space="preserve"> reach </w:t>
      </w:r>
      <w:r w:rsidR="00E22219" w:rsidRPr="00043D52">
        <w:rPr>
          <w:rFonts w:ascii="Palatino Linotype" w:hAnsi="Palatino Linotype" w:cs="Times New Roman"/>
        </w:rPr>
        <w:t>“</w:t>
      </w:r>
      <w:r w:rsidRPr="00043D52">
        <w:rPr>
          <w:rFonts w:ascii="Palatino Linotype" w:hAnsi="Palatino Linotype" w:cs="Times New Roman"/>
        </w:rPr>
        <w:t xml:space="preserve">segments of community not necessarily reached by traditional legal services, provides support </w:t>
      </w:r>
      <w:r w:rsidRPr="00043D52">
        <w:rPr>
          <w:rFonts w:ascii="Palatino Linotype" w:hAnsi="Palatino Linotype" w:cs="Times New Roman"/>
        </w:rPr>
        <w:lastRenderedPageBreak/>
        <w:t>for individuals not involved in litigation, responds to non-legal concerns or concerns unable to be redressed by the law, develops leadership skills within the community, and transfers knowledge and encourages collaboration within and among communities”.</w:t>
      </w:r>
      <w:r w:rsidRPr="00043D52">
        <w:rPr>
          <w:rStyle w:val="FootnoteReference"/>
          <w:rFonts w:ascii="Palatino Linotype" w:hAnsi="Palatino Linotype" w:cs="Times New Roman"/>
        </w:rPr>
        <w:footnoteReference w:id="51"/>
      </w:r>
    </w:p>
    <w:p w14:paraId="349C2DD0" w14:textId="0083D983" w:rsidR="00150AB0" w:rsidRPr="00043D52" w:rsidRDefault="00150AB0" w:rsidP="0091111C">
      <w:pPr>
        <w:spacing w:line="480" w:lineRule="auto"/>
        <w:jc w:val="both"/>
        <w:rPr>
          <w:rFonts w:ascii="Palatino Linotype" w:hAnsi="Palatino Linotype" w:cs="Times New Roman"/>
          <w:b/>
        </w:rPr>
      </w:pPr>
      <w:r w:rsidRPr="00043D52">
        <w:rPr>
          <w:rFonts w:ascii="Palatino Linotype" w:hAnsi="Palatino Linotype" w:cs="Times New Roman"/>
          <w:b/>
        </w:rPr>
        <w:t xml:space="preserve">Service-learning pedagogy </w:t>
      </w:r>
    </w:p>
    <w:p w14:paraId="31E9E481" w14:textId="26787D31" w:rsidR="00150AB0" w:rsidRPr="00043D52" w:rsidRDefault="00150AB0" w:rsidP="0042381D">
      <w:pPr>
        <w:spacing w:line="480" w:lineRule="auto"/>
        <w:rPr>
          <w:rFonts w:ascii="Palatino Linotype" w:hAnsi="Palatino Linotype" w:cs="Times New Roman"/>
        </w:rPr>
      </w:pPr>
      <w:r w:rsidRPr="00043D52">
        <w:rPr>
          <w:rFonts w:ascii="Palatino Linotype" w:hAnsi="Palatino Linotype" w:cs="Times New Roman"/>
        </w:rPr>
        <w:t xml:space="preserve">Generally, </w:t>
      </w:r>
      <w:r w:rsidR="006D3C46" w:rsidRPr="00043D52">
        <w:rPr>
          <w:rFonts w:ascii="Palatino Linotype" w:hAnsi="Palatino Linotype" w:cs="Times New Roman"/>
        </w:rPr>
        <w:t>CLE</w:t>
      </w:r>
      <w:r w:rsidRPr="00043D52">
        <w:rPr>
          <w:rFonts w:ascii="Palatino Linotype" w:hAnsi="Palatino Linotype" w:cs="Times New Roman"/>
        </w:rPr>
        <w:t xml:space="preserve"> adopts an experiential model that involves four stages</w:t>
      </w:r>
      <w:r w:rsidR="00B41D21" w:rsidRPr="00043D52">
        <w:rPr>
          <w:rFonts w:ascii="Palatino Linotype" w:hAnsi="Palatino Linotype" w:cs="Times New Roman"/>
        </w:rPr>
        <w:t>:</w:t>
      </w:r>
      <w:r w:rsidRPr="00043D52">
        <w:rPr>
          <w:rFonts w:ascii="Palatino Linotype" w:hAnsi="Palatino Linotype" w:cs="Times New Roman"/>
        </w:rPr>
        <w:t xml:space="preserve"> experience, reflection, theory and application.</w:t>
      </w:r>
      <w:r w:rsidRPr="00043D52">
        <w:rPr>
          <w:rStyle w:val="FootnoteReference"/>
          <w:rFonts w:ascii="Palatino Linotype" w:hAnsi="Palatino Linotype" w:cs="Times New Roman"/>
        </w:rPr>
        <w:footnoteReference w:id="52"/>
      </w:r>
      <w:r w:rsidRPr="00043D52">
        <w:rPr>
          <w:rFonts w:ascii="Palatino Linotype" w:hAnsi="Palatino Linotype" w:cs="Times New Roman"/>
        </w:rPr>
        <w:t xml:space="preserve"> Community lawyering clinics apply the clinical pedagogy focussing on personal and professional values of service in the context of working with and for the community. Service-learning therefore provides a</w:t>
      </w:r>
      <w:r w:rsidR="00DA1A3C" w:rsidRPr="00043D52">
        <w:rPr>
          <w:rFonts w:ascii="Palatino Linotype" w:hAnsi="Palatino Linotype" w:cs="Times New Roman"/>
        </w:rPr>
        <w:t>n opportunity</w:t>
      </w:r>
      <w:r w:rsidRPr="00043D52">
        <w:rPr>
          <w:rFonts w:ascii="Palatino Linotype" w:hAnsi="Palatino Linotype" w:cs="Times New Roman"/>
        </w:rPr>
        <w:t xml:space="preserve"> for law schools to adapt the experiential pedagogy of CLE to the community lawyering context.</w:t>
      </w:r>
      <w:r w:rsidRPr="00043D52">
        <w:rPr>
          <w:rStyle w:val="FootnoteReference"/>
          <w:rFonts w:ascii="Palatino Linotype" w:hAnsi="Palatino Linotype" w:cs="Times New Roman"/>
        </w:rPr>
        <w:footnoteReference w:id="53"/>
      </w:r>
      <w:r w:rsidRPr="00043D52">
        <w:rPr>
          <w:rFonts w:ascii="Palatino Linotype" w:hAnsi="Palatino Linotype" w:cs="Times New Roman"/>
        </w:rPr>
        <w:t xml:space="preserve"> In service-learning, students undertake community service while engaging in reflective practice in relation to their learning during the service.</w:t>
      </w:r>
    </w:p>
    <w:p w14:paraId="35B8CFAB" w14:textId="2A57E923" w:rsidR="00150AB0" w:rsidRPr="00043D52" w:rsidRDefault="00150AB0" w:rsidP="001D16D8">
      <w:pPr>
        <w:spacing w:line="480" w:lineRule="auto"/>
        <w:contextualSpacing/>
        <w:jc w:val="both"/>
        <w:rPr>
          <w:rFonts w:ascii="Palatino Linotype" w:hAnsi="Palatino Linotype" w:cs="Times New Roman"/>
        </w:rPr>
      </w:pPr>
      <w:r w:rsidRPr="00043D52">
        <w:rPr>
          <w:rFonts w:ascii="Palatino Linotype" w:hAnsi="Palatino Linotype" w:cs="Times New Roman"/>
        </w:rPr>
        <w:t>Service-learning has been defined as:</w:t>
      </w:r>
      <w:r w:rsidRPr="00043D52">
        <w:rPr>
          <w:rStyle w:val="FootnoteReference"/>
          <w:rFonts w:ascii="Palatino Linotype" w:hAnsi="Palatino Linotype" w:cs="Times New Roman"/>
        </w:rPr>
        <w:footnoteReference w:id="54"/>
      </w:r>
      <w:r w:rsidRPr="00043D52">
        <w:rPr>
          <w:rFonts w:ascii="Palatino Linotype" w:hAnsi="Palatino Linotype" w:cs="Times New Roman"/>
        </w:rPr>
        <w:t xml:space="preserve"> </w:t>
      </w:r>
    </w:p>
    <w:p w14:paraId="0E03A52C" w14:textId="4291E89E" w:rsidR="00150AB0" w:rsidRPr="00043D52" w:rsidRDefault="00013A36" w:rsidP="00013A36">
      <w:pPr>
        <w:spacing w:line="360" w:lineRule="auto"/>
        <w:ind w:left="720"/>
        <w:jc w:val="both"/>
        <w:rPr>
          <w:rFonts w:ascii="Palatino Linotype" w:hAnsi="Palatino Linotype" w:cs="Times New Roman"/>
          <w:i/>
        </w:rPr>
      </w:pPr>
      <w:r>
        <w:rPr>
          <w:rFonts w:ascii="Palatino Linotype" w:hAnsi="Palatino Linotype" w:cs="Times New Roman"/>
          <w:i/>
        </w:rPr>
        <w:t>”</w:t>
      </w:r>
      <w:r w:rsidR="00150AB0" w:rsidRPr="00043D52">
        <w:rPr>
          <w:rFonts w:ascii="Palatino Linotype" w:hAnsi="Palatino Linotype" w:cs="Times New Roman"/>
          <w:i/>
        </w:rPr>
        <w:t xml:space="preserve">… a course-based, credit bearing educational experience in which students (a) participate in an organized service activity that meets identified community needs and (b) reflect on the service activity in such a way as to gain further understanding </w:t>
      </w:r>
      <w:r w:rsidR="00150AB0" w:rsidRPr="00043D52">
        <w:rPr>
          <w:rFonts w:ascii="Palatino Linotype" w:hAnsi="Palatino Linotype" w:cs="Times New Roman"/>
          <w:i/>
        </w:rPr>
        <w:lastRenderedPageBreak/>
        <w:t xml:space="preserve">of course content, a broader appreciation of the discipline, and an enhanced sense of personal values and civic responsibility.” </w:t>
      </w:r>
    </w:p>
    <w:p w14:paraId="3CE4387D" w14:textId="4E1B2F60" w:rsidR="00150AB0" w:rsidRPr="00043D52" w:rsidRDefault="00150AB0" w:rsidP="001D16D8">
      <w:pPr>
        <w:spacing w:line="480" w:lineRule="auto"/>
        <w:jc w:val="both"/>
        <w:rPr>
          <w:rFonts w:ascii="Palatino Linotype" w:hAnsi="Palatino Linotype" w:cs="Times New Roman"/>
        </w:rPr>
      </w:pPr>
      <w:r w:rsidRPr="00043D52">
        <w:rPr>
          <w:rFonts w:ascii="Palatino Linotype" w:hAnsi="Palatino Linotype" w:cs="Times New Roman"/>
        </w:rPr>
        <w:t>In the law school context, service-learning has been said to be “related [to], yet distinct from clinical legal education.”</w:t>
      </w:r>
      <w:r w:rsidRPr="00043D52">
        <w:rPr>
          <w:rStyle w:val="FootnoteReference"/>
          <w:rFonts w:ascii="Palatino Linotype" w:hAnsi="Palatino Linotype" w:cs="Times New Roman"/>
        </w:rPr>
        <w:footnoteReference w:id="55"/>
      </w:r>
      <w:r w:rsidRPr="00043D52">
        <w:rPr>
          <w:rFonts w:ascii="Palatino Linotype" w:hAnsi="Palatino Linotype" w:cs="Times New Roman"/>
        </w:rPr>
        <w:t xml:space="preserve"> It enhances both doctrinal learning of law and </w:t>
      </w:r>
      <w:r w:rsidR="006D3C46" w:rsidRPr="00043D52">
        <w:rPr>
          <w:rFonts w:ascii="Palatino Linotype" w:hAnsi="Palatino Linotype" w:cs="Times New Roman"/>
        </w:rPr>
        <w:t>CLE</w:t>
      </w:r>
      <w:r w:rsidRPr="00043D52">
        <w:rPr>
          <w:rFonts w:ascii="Palatino Linotype" w:hAnsi="Palatino Linotype" w:cs="Times New Roman"/>
        </w:rPr>
        <w:t xml:space="preserve"> by providing an authentic setting for students to engage in social change lawyering and to develop their sense of professional identity.  Accordingly, the service-learning pedagogy </w:t>
      </w:r>
      <w:r w:rsidR="009502CF" w:rsidRPr="00043D52">
        <w:rPr>
          <w:rFonts w:ascii="Palatino Linotype" w:hAnsi="Palatino Linotype" w:cs="Times New Roman"/>
        </w:rPr>
        <w:t>can be seen as</w:t>
      </w:r>
      <w:r w:rsidRPr="00043D52">
        <w:rPr>
          <w:rFonts w:ascii="Palatino Linotype" w:hAnsi="Palatino Linotype" w:cs="Times New Roman"/>
        </w:rPr>
        <w:t xml:space="preserve"> ideal for community lawyering clinics. According to Morin and </w:t>
      </w:r>
      <w:proofErr w:type="spellStart"/>
      <w:r w:rsidRPr="00043D52">
        <w:rPr>
          <w:rFonts w:ascii="Palatino Linotype" w:hAnsi="Palatino Linotype" w:cs="Times New Roman"/>
        </w:rPr>
        <w:t>Waysdorf</w:t>
      </w:r>
      <w:proofErr w:type="spellEnd"/>
      <w:r w:rsidRPr="00043D52">
        <w:rPr>
          <w:rFonts w:ascii="Palatino Linotype" w:hAnsi="Palatino Linotype" w:cs="Times New Roman"/>
        </w:rPr>
        <w:t>:</w:t>
      </w:r>
      <w:r w:rsidRPr="00043D52">
        <w:rPr>
          <w:rStyle w:val="FootnoteReference"/>
          <w:rFonts w:ascii="Palatino Linotype" w:hAnsi="Palatino Linotype" w:cs="Times New Roman"/>
        </w:rPr>
        <w:footnoteReference w:id="56"/>
      </w:r>
    </w:p>
    <w:p w14:paraId="1A57F365" w14:textId="001D408E" w:rsidR="00150AB0" w:rsidRPr="00043D52" w:rsidRDefault="00013A36" w:rsidP="00013A36">
      <w:pPr>
        <w:spacing w:line="360" w:lineRule="auto"/>
        <w:ind w:left="720"/>
        <w:jc w:val="both"/>
        <w:rPr>
          <w:rFonts w:ascii="Palatino Linotype" w:hAnsi="Palatino Linotype" w:cs="Times New Roman"/>
          <w:i/>
        </w:rPr>
      </w:pPr>
      <w:r>
        <w:rPr>
          <w:rFonts w:ascii="Palatino Linotype" w:hAnsi="Palatino Linotype" w:cs="Times New Roman"/>
          <w:i/>
        </w:rPr>
        <w:t>”</w:t>
      </w:r>
      <w:r w:rsidR="00150AB0" w:rsidRPr="00043D52">
        <w:rPr>
          <w:rFonts w:ascii="Palatino Linotype" w:hAnsi="Palatino Linotype" w:cs="Times New Roman"/>
          <w:i/>
        </w:rPr>
        <w:t xml:space="preserve">Within service-learning, every experiential second is a teachable, if not also disorienting, moment.  In short, what is “learned” in the process of effective service-learning is more than deeper subject matter knowledge or retention of clinical practice skills. More importantly perhaps, students gain self-knowledge brought on by intentional learning through collectivized social justice action. The notion is that becoming a </w:t>
      </w:r>
      <w:r>
        <w:rPr>
          <w:rFonts w:ascii="Palatino Linotype" w:hAnsi="Palatino Linotype" w:cs="Times New Roman"/>
          <w:i/>
        </w:rPr>
        <w:t>‘</w:t>
      </w:r>
      <w:r w:rsidR="00150AB0" w:rsidRPr="00043D52">
        <w:rPr>
          <w:rFonts w:ascii="Palatino Linotype" w:hAnsi="Palatino Linotype" w:cs="Times New Roman"/>
          <w:i/>
        </w:rPr>
        <w:t>better person</w:t>
      </w:r>
      <w:r>
        <w:rPr>
          <w:rFonts w:ascii="Palatino Linotype" w:hAnsi="Palatino Linotype" w:cs="Times New Roman"/>
          <w:i/>
        </w:rPr>
        <w:t>’</w:t>
      </w:r>
      <w:r w:rsidR="00150AB0" w:rsidRPr="00043D52">
        <w:rPr>
          <w:rFonts w:ascii="Palatino Linotype" w:hAnsi="Palatino Linotype" w:cs="Times New Roman"/>
          <w:i/>
        </w:rPr>
        <w:t xml:space="preserve"> will lead to becoming a better, more empathetic, and, the</w:t>
      </w:r>
      <w:r>
        <w:rPr>
          <w:rFonts w:ascii="Palatino Linotype" w:hAnsi="Palatino Linotype" w:cs="Times New Roman"/>
          <w:i/>
        </w:rPr>
        <w:t>refore, more effective attorney.”</w:t>
      </w:r>
    </w:p>
    <w:p w14:paraId="228B6E63" w14:textId="2E3A1141" w:rsidR="00150AB0" w:rsidRPr="00043D52" w:rsidRDefault="00150AB0" w:rsidP="00DB311E">
      <w:pPr>
        <w:spacing w:line="480" w:lineRule="auto"/>
        <w:jc w:val="both"/>
        <w:rPr>
          <w:rFonts w:ascii="Palatino Linotype" w:hAnsi="Palatino Linotype" w:cs="Times New Roman"/>
        </w:rPr>
      </w:pPr>
      <w:r w:rsidRPr="00043D52">
        <w:rPr>
          <w:rFonts w:ascii="Palatino Linotype" w:hAnsi="Palatino Linotype" w:cs="Times New Roman"/>
        </w:rPr>
        <w:t xml:space="preserve">While the focus of Morin and </w:t>
      </w:r>
      <w:proofErr w:type="spellStart"/>
      <w:r w:rsidRPr="00043D52">
        <w:rPr>
          <w:rFonts w:ascii="Palatino Linotype" w:hAnsi="Palatino Linotype" w:cs="Times New Roman"/>
        </w:rPr>
        <w:t>Waysdorf’s</w:t>
      </w:r>
      <w:proofErr w:type="spellEnd"/>
      <w:r w:rsidRPr="00043D52">
        <w:rPr>
          <w:rFonts w:ascii="Palatino Linotype" w:hAnsi="Palatino Linotype" w:cs="Times New Roman"/>
        </w:rPr>
        <w:t xml:space="preserve"> work is on responses to crisis situations (e.g. Hurricane Katrina and the Gulf oil spill) </w:t>
      </w:r>
      <w:r w:rsidR="00B41D21" w:rsidRPr="00043D52">
        <w:rPr>
          <w:rFonts w:ascii="Palatino Linotype" w:hAnsi="Palatino Linotype" w:cs="Times New Roman"/>
        </w:rPr>
        <w:t>their comments</w:t>
      </w:r>
      <w:r w:rsidRPr="00043D52">
        <w:rPr>
          <w:rFonts w:ascii="Palatino Linotype" w:hAnsi="Palatino Linotype" w:cs="Times New Roman"/>
        </w:rPr>
        <w:t xml:space="preserve"> can</w:t>
      </w:r>
      <w:r w:rsidR="00B41D21" w:rsidRPr="00043D52">
        <w:rPr>
          <w:rFonts w:ascii="Palatino Linotype" w:hAnsi="Palatino Linotype" w:cs="Times New Roman"/>
        </w:rPr>
        <w:t xml:space="preserve"> also</w:t>
      </w:r>
      <w:r w:rsidRPr="00043D52">
        <w:rPr>
          <w:rFonts w:ascii="Palatino Linotype" w:hAnsi="Palatino Linotype" w:cs="Times New Roman"/>
        </w:rPr>
        <w:t xml:space="preserve"> be extended to more immediate 'local' issues. In such a case, the community issue is </w:t>
      </w:r>
      <w:r w:rsidR="00B41D21" w:rsidRPr="00043D52">
        <w:rPr>
          <w:rFonts w:ascii="Palatino Linotype" w:hAnsi="Palatino Linotype" w:cs="Times New Roman"/>
        </w:rPr>
        <w:t>often</w:t>
      </w:r>
      <w:r w:rsidRPr="00043D52">
        <w:rPr>
          <w:rFonts w:ascii="Palatino Linotype" w:hAnsi="Palatino Linotype" w:cs="Times New Roman"/>
        </w:rPr>
        <w:t xml:space="preserve"> more localised and likely less dramatic but with the same potential for significant community harm if left unaddressed. The Queensland University of Technology </w:t>
      </w:r>
      <w:r w:rsidRPr="00043D52">
        <w:rPr>
          <w:rFonts w:ascii="Palatino Linotype" w:hAnsi="Palatino Linotype" w:cs="Times New Roman"/>
        </w:rPr>
        <w:lastRenderedPageBreak/>
        <w:t>(QUT) and Environmental Defenders Office, Queensland (EDO Qld) clinic,</w:t>
      </w:r>
      <w:r w:rsidRPr="00043D52">
        <w:rPr>
          <w:rStyle w:val="FootnoteReference"/>
          <w:rFonts w:ascii="Palatino Linotype" w:hAnsi="Palatino Linotype" w:cs="Times New Roman"/>
        </w:rPr>
        <w:footnoteReference w:id="57"/>
      </w:r>
      <w:r w:rsidRPr="00043D52">
        <w:rPr>
          <w:rFonts w:ascii="Palatino Linotype" w:hAnsi="Palatino Linotype" w:cs="Times New Roman"/>
        </w:rPr>
        <w:t xml:space="preserve"> now in its third year, is a good example of service learning in this context. Significant mining and coal seam gas extraction in Queensland, if left substantially unaddressed by governments and civil society, could result in severe long-term community</w:t>
      </w:r>
      <w:r w:rsidR="00B41D21" w:rsidRPr="00043D52">
        <w:rPr>
          <w:rFonts w:ascii="Palatino Linotype" w:hAnsi="Palatino Linotype" w:cs="Times New Roman"/>
        </w:rPr>
        <w:t xml:space="preserve"> (and environmental)</w:t>
      </w:r>
      <w:r w:rsidRPr="00043D52">
        <w:rPr>
          <w:rFonts w:ascii="Palatino Linotype" w:hAnsi="Palatino Linotype" w:cs="Times New Roman"/>
        </w:rPr>
        <w:t xml:space="preserve"> impacts. Ultimately, it is the ‘flexibility’ of service learning which allows it to respond to emerging issues – whatever the scale.</w:t>
      </w:r>
      <w:r w:rsidRPr="00043D52">
        <w:rPr>
          <w:rStyle w:val="FootnoteReference"/>
          <w:rFonts w:ascii="Palatino Linotype" w:hAnsi="Palatino Linotype" w:cs="Times New Roman"/>
        </w:rPr>
        <w:footnoteReference w:id="58"/>
      </w:r>
    </w:p>
    <w:p w14:paraId="0453FF2A" w14:textId="4DEE0DA4" w:rsidR="00150AB0" w:rsidRPr="00043D52" w:rsidRDefault="009502CF" w:rsidP="0077201E">
      <w:pPr>
        <w:spacing w:line="480" w:lineRule="auto"/>
        <w:jc w:val="both"/>
        <w:rPr>
          <w:rFonts w:ascii="Palatino Linotype" w:hAnsi="Palatino Linotype" w:cs="Times New Roman"/>
        </w:rPr>
      </w:pPr>
      <w:r w:rsidRPr="00043D52">
        <w:rPr>
          <w:rFonts w:ascii="Palatino Linotype" w:hAnsi="Palatino Linotype" w:cs="Times New Roman"/>
        </w:rPr>
        <w:t>An</w:t>
      </w:r>
      <w:r w:rsidR="00150AB0" w:rsidRPr="00043D52">
        <w:rPr>
          <w:rFonts w:ascii="Palatino Linotype" w:hAnsi="Palatino Linotype" w:cs="Times New Roman"/>
        </w:rPr>
        <w:t xml:space="preserve"> element of service-learning that is essential to student learning outcomes is reflective practice. Through reflection, the legal clinic pedagogy of personal and professional service is retained and becomes the focus of student learning. The reflective process allows students to identify their values and beliefs, confront prejudices and bias, question their assumptions, consider alternative perspectives, and ask ‘why’.</w:t>
      </w:r>
      <w:r w:rsidR="00150AB0" w:rsidRPr="00043D52">
        <w:rPr>
          <w:rStyle w:val="FootnoteReference"/>
          <w:rFonts w:ascii="Palatino Linotype" w:hAnsi="Palatino Linotype" w:cs="Times New Roman"/>
        </w:rPr>
        <w:footnoteReference w:id="59"/>
      </w:r>
      <w:r w:rsidR="00150AB0" w:rsidRPr="00043D52">
        <w:rPr>
          <w:rFonts w:ascii="Palatino Linotype" w:hAnsi="Palatino Linotype" w:cs="Times New Roman"/>
        </w:rPr>
        <w:t xml:space="preserve"> Service-learning may prompt students to more fully understand social problems and lose their previously held beliefs in their individual capacity to effect social change. They develop their critical thinking skills and also identify areas for personal change and career goals. In documenting their learning, they can evaluate their reflections and observe change over time. Guided reflection tasks make explicit links between academic learning (discipline-based content) and civic </w:t>
      </w:r>
      <w:r w:rsidR="00150AB0" w:rsidRPr="00043D52">
        <w:rPr>
          <w:rFonts w:ascii="Palatino Linotype" w:hAnsi="Palatino Linotype" w:cs="Times New Roman"/>
        </w:rPr>
        <w:lastRenderedPageBreak/>
        <w:t>learning by “calling attention to the public dimensions and responsibilities of professional practice.”</w:t>
      </w:r>
      <w:r w:rsidR="00150AB0" w:rsidRPr="00043D52">
        <w:rPr>
          <w:rStyle w:val="FootnoteReference"/>
          <w:rFonts w:ascii="Palatino Linotype" w:hAnsi="Palatino Linotype" w:cs="Times New Roman"/>
        </w:rPr>
        <w:footnoteReference w:id="60"/>
      </w:r>
    </w:p>
    <w:p w14:paraId="053F0796" w14:textId="225C7D7D" w:rsidR="00150AB0" w:rsidRPr="00043D52" w:rsidRDefault="00B41D21" w:rsidP="0091111C">
      <w:pPr>
        <w:spacing w:line="480" w:lineRule="auto"/>
        <w:contextualSpacing/>
        <w:jc w:val="both"/>
        <w:rPr>
          <w:rFonts w:ascii="Palatino Linotype" w:hAnsi="Palatino Linotype" w:cs="Times New Roman"/>
          <w:iCs/>
          <w:lang w:val="en-US"/>
        </w:rPr>
      </w:pPr>
      <w:r w:rsidRPr="00043D52">
        <w:rPr>
          <w:rFonts w:ascii="Palatino Linotype" w:hAnsi="Palatino Linotype" w:cs="Times New Roman"/>
        </w:rPr>
        <w:t>A final point to note is that, i</w:t>
      </w:r>
      <w:r w:rsidR="00150AB0" w:rsidRPr="00043D52">
        <w:rPr>
          <w:rFonts w:ascii="Palatino Linotype" w:hAnsi="Palatino Linotype" w:cs="Times New Roman"/>
        </w:rPr>
        <w:t>n service-learning</w:t>
      </w:r>
      <w:r w:rsidRPr="00043D52">
        <w:rPr>
          <w:rFonts w:ascii="Palatino Linotype" w:hAnsi="Palatino Linotype" w:cs="Times New Roman"/>
        </w:rPr>
        <w:t>,</w:t>
      </w:r>
      <w:r w:rsidR="00150AB0" w:rsidRPr="00043D52">
        <w:rPr>
          <w:rFonts w:ascii="Palatino Linotype" w:hAnsi="Palatino Linotype" w:cs="Times New Roman"/>
        </w:rPr>
        <w:t xml:space="preserve"> it is not necessary that the community partner is a legal organisation or that students work under the supervision of a legal practitioner. This increases the range of projects and community organisations that students can work with </w:t>
      </w:r>
      <w:r w:rsidRPr="00043D52">
        <w:rPr>
          <w:rFonts w:ascii="Palatino Linotype" w:hAnsi="Palatino Linotype" w:cs="Times New Roman"/>
        </w:rPr>
        <w:t xml:space="preserve">which in turn </w:t>
      </w:r>
      <w:r w:rsidR="00150AB0" w:rsidRPr="00043D52">
        <w:rPr>
          <w:rFonts w:ascii="Palatino Linotype" w:hAnsi="Palatino Linotype" w:cs="Times New Roman"/>
        </w:rPr>
        <w:t xml:space="preserve">enables more students to undertake </w:t>
      </w:r>
      <w:r w:rsidRPr="00043D52">
        <w:rPr>
          <w:rFonts w:ascii="Palatino Linotype" w:hAnsi="Palatino Linotype" w:cs="Times New Roman"/>
        </w:rPr>
        <w:t>valuable</w:t>
      </w:r>
      <w:r w:rsidR="00150AB0" w:rsidRPr="00043D52">
        <w:rPr>
          <w:rFonts w:ascii="Palatino Linotype" w:hAnsi="Palatino Linotype" w:cs="Times New Roman"/>
        </w:rPr>
        <w:t xml:space="preserve"> clinical experience</w:t>
      </w:r>
      <w:r w:rsidRPr="00043D52">
        <w:rPr>
          <w:rFonts w:ascii="Palatino Linotype" w:hAnsi="Palatino Linotype" w:cs="Times New Roman"/>
        </w:rPr>
        <w:t>s</w:t>
      </w:r>
      <w:r w:rsidR="00150AB0" w:rsidRPr="00043D52">
        <w:rPr>
          <w:rFonts w:ascii="Palatino Linotype" w:hAnsi="Palatino Linotype" w:cs="Times New Roman"/>
        </w:rPr>
        <w:t xml:space="preserve">. This accords with Giddings’ suggestion that </w:t>
      </w:r>
      <w:r w:rsidR="00150AB0" w:rsidRPr="00043D52">
        <w:rPr>
          <w:rFonts w:ascii="Palatino Linotype" w:hAnsi="Palatino Linotype" w:cs="Times New Roman"/>
          <w:iCs/>
          <w:lang w:val="en-US"/>
        </w:rPr>
        <w:t>law schools should develop methodologies beyond traditional legal clinic model</w:t>
      </w:r>
      <w:r w:rsidR="009502CF" w:rsidRPr="00043D52">
        <w:rPr>
          <w:rFonts w:ascii="Palatino Linotype" w:hAnsi="Palatino Linotype" w:cs="Times New Roman"/>
          <w:iCs/>
          <w:lang w:val="en-US"/>
        </w:rPr>
        <w:t>s</w:t>
      </w:r>
      <w:r w:rsidR="00150AB0" w:rsidRPr="00043D52">
        <w:rPr>
          <w:rFonts w:ascii="Palatino Linotype" w:hAnsi="Palatino Linotype" w:cs="Times New Roman"/>
          <w:iCs/>
          <w:lang w:val="en-US"/>
        </w:rPr>
        <w:t>,</w:t>
      </w:r>
      <w:r w:rsidR="00150AB0" w:rsidRPr="00043D52">
        <w:rPr>
          <w:rStyle w:val="FootnoteReference"/>
          <w:rFonts w:ascii="Palatino Linotype" w:hAnsi="Palatino Linotype" w:cs="Times New Roman"/>
          <w:iCs/>
          <w:lang w:val="en-US"/>
        </w:rPr>
        <w:footnoteReference w:id="61"/>
      </w:r>
      <w:r w:rsidR="00150AB0" w:rsidRPr="00043D52">
        <w:rPr>
          <w:rFonts w:ascii="Palatino Linotype" w:hAnsi="Palatino Linotype" w:cs="Times New Roman"/>
          <w:iCs/>
          <w:lang w:val="en-US"/>
        </w:rPr>
        <w:t xml:space="preserve"> and that </w:t>
      </w:r>
      <w:r w:rsidR="00150AB0" w:rsidRPr="00043D52">
        <w:rPr>
          <w:rFonts w:ascii="Palatino Linotype" w:hAnsi="Palatino Linotype" w:cs="Times New Roman"/>
        </w:rPr>
        <w:t>“[p]</w:t>
      </w:r>
      <w:proofErr w:type="spellStart"/>
      <w:r w:rsidR="00150AB0" w:rsidRPr="00043D52">
        <w:rPr>
          <w:rFonts w:ascii="Palatino Linotype" w:hAnsi="Palatino Linotype" w:cs="Times New Roman"/>
        </w:rPr>
        <w:t>roviding</w:t>
      </w:r>
      <w:proofErr w:type="spellEnd"/>
      <w:r w:rsidR="00150AB0" w:rsidRPr="00043D52">
        <w:rPr>
          <w:rFonts w:ascii="Palatino Linotype" w:hAnsi="Palatino Linotype" w:cs="Times New Roman"/>
        </w:rPr>
        <w:t xml:space="preserve"> an intense and productive clinical experience for students needs to be balanced with making such experiences available to as many students as possible.”</w:t>
      </w:r>
      <w:r w:rsidR="00150AB0" w:rsidRPr="00043D52">
        <w:rPr>
          <w:rStyle w:val="FootnoteReference"/>
          <w:rFonts w:ascii="Palatino Linotype" w:hAnsi="Palatino Linotype" w:cs="Times New Roman"/>
        </w:rPr>
        <w:footnoteReference w:id="62"/>
      </w:r>
      <w:r w:rsidR="00150AB0" w:rsidRPr="00043D52">
        <w:rPr>
          <w:rFonts w:ascii="Palatino Linotype" w:hAnsi="Palatino Linotype" w:cs="Times New Roman"/>
        </w:rPr>
        <w:t xml:space="preserve"> </w:t>
      </w:r>
    </w:p>
    <w:p w14:paraId="6F7A347B" w14:textId="77777777" w:rsidR="00013A36" w:rsidRDefault="00013A36" w:rsidP="0091111C">
      <w:pPr>
        <w:keepNext/>
        <w:spacing w:line="480" w:lineRule="auto"/>
        <w:jc w:val="both"/>
        <w:rPr>
          <w:rFonts w:ascii="Palatino Linotype" w:hAnsi="Palatino Linotype" w:cs="Times New Roman"/>
        </w:rPr>
      </w:pPr>
    </w:p>
    <w:p w14:paraId="5E12C029" w14:textId="71242EEF" w:rsidR="00150AB0" w:rsidRPr="005459C3" w:rsidRDefault="005459C3" w:rsidP="0091111C">
      <w:pPr>
        <w:keepNext/>
        <w:spacing w:line="480" w:lineRule="auto"/>
        <w:jc w:val="both"/>
        <w:rPr>
          <w:rFonts w:ascii="Palatino Linotype" w:hAnsi="Palatino Linotype" w:cs="Times New Roman"/>
        </w:rPr>
      </w:pPr>
      <w:r w:rsidRPr="005459C3">
        <w:rPr>
          <w:rFonts w:ascii="Palatino Linotype" w:hAnsi="Palatino Linotype" w:cs="Times New Roman"/>
        </w:rPr>
        <w:t xml:space="preserve">PART IV: CASE STUDY  </w:t>
      </w:r>
    </w:p>
    <w:p w14:paraId="75F075B0" w14:textId="77777777" w:rsidR="00552107" w:rsidRDefault="00552107" w:rsidP="0091111C">
      <w:pPr>
        <w:spacing w:line="480" w:lineRule="auto"/>
        <w:jc w:val="both"/>
        <w:rPr>
          <w:rFonts w:ascii="Palatino Linotype" w:hAnsi="Palatino Linotype" w:cs="Times New Roman"/>
        </w:rPr>
      </w:pPr>
    </w:p>
    <w:p w14:paraId="1062C75B" w14:textId="13697189"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In 2013, the QUT law school introduced a new legal clinic subject which includes a range of clinical experiences from the live client model to community projects. This case study is limited to an evaluation of the community project experiences</w:t>
      </w:r>
      <w:r w:rsidR="009502CF" w:rsidRPr="00043D52">
        <w:rPr>
          <w:rFonts w:ascii="Palatino Linotype" w:hAnsi="Palatino Linotype" w:cs="Times New Roman"/>
        </w:rPr>
        <w:t xml:space="preserve"> which are based on the community lawyering model</w:t>
      </w:r>
      <w:r w:rsidRPr="00043D52">
        <w:rPr>
          <w:rFonts w:ascii="Palatino Linotype" w:hAnsi="Palatino Linotype" w:cs="Times New Roman"/>
        </w:rPr>
        <w:t xml:space="preserve">. The range of projects undertaken by </w:t>
      </w:r>
      <w:r w:rsidRPr="00043D52">
        <w:rPr>
          <w:rFonts w:ascii="Palatino Linotype" w:hAnsi="Palatino Linotype" w:cs="Times New Roman"/>
        </w:rPr>
        <w:lastRenderedPageBreak/>
        <w:t>students include community based research,</w:t>
      </w:r>
      <w:r w:rsidRPr="00043D52">
        <w:rPr>
          <w:rStyle w:val="FootnoteReference"/>
          <w:rFonts w:ascii="Palatino Linotype" w:hAnsi="Palatino Linotype" w:cs="Times New Roman"/>
        </w:rPr>
        <w:footnoteReference w:id="63"/>
      </w:r>
      <w:r w:rsidRPr="00043D52">
        <w:rPr>
          <w:rFonts w:ascii="Palatino Linotype" w:hAnsi="Palatino Linotype" w:cs="Times New Roman"/>
        </w:rPr>
        <w:t xml:space="preserve"> community empowerment activities</w:t>
      </w:r>
      <w:r w:rsidRPr="00043D52">
        <w:rPr>
          <w:rStyle w:val="FootnoteReference"/>
          <w:rFonts w:ascii="Palatino Linotype" w:hAnsi="Palatino Linotype" w:cs="Times New Roman"/>
        </w:rPr>
        <w:footnoteReference w:id="64"/>
      </w:r>
      <w:r w:rsidRPr="00043D52">
        <w:rPr>
          <w:rFonts w:ascii="Palatino Linotype" w:hAnsi="Palatino Linotype" w:cs="Times New Roman"/>
        </w:rPr>
        <w:t xml:space="preserve"> and street law projects. The projects were developed through a series of community forums involving members of community organisations, academics working across various disciplines and students.</w:t>
      </w:r>
      <w:r w:rsidRPr="00043D52">
        <w:rPr>
          <w:rStyle w:val="FootnoteReference"/>
          <w:rFonts w:ascii="Palatino Linotype" w:hAnsi="Palatino Linotype" w:cs="Times New Roman"/>
        </w:rPr>
        <w:footnoteReference w:id="65"/>
      </w:r>
      <w:r w:rsidRPr="00043D52">
        <w:rPr>
          <w:rFonts w:ascii="Palatino Linotype" w:hAnsi="Palatino Linotype" w:cs="Times New Roman"/>
        </w:rPr>
        <w:t xml:space="preserve"> Participants in the forums workshopped “wicked problems” that had been identified by the community organisations for which there was no ready solution and which they believed students could be of assistance in addressing. The forum organisers had posited that students undertaking such projects could attain valuable learning outcomes through a service-learning approach. Given this  approach  was relatively novel in the institution and that there is limited literature examining service-learning in legal education in Australia, the authors chose to undertake a thorough evaluation of the impact of the service-learning on student learning</w:t>
      </w:r>
      <w:r w:rsidR="00B41D21" w:rsidRPr="00043D52">
        <w:rPr>
          <w:rFonts w:ascii="Palatino Linotype" w:hAnsi="Palatino Linotype" w:cs="Times New Roman"/>
        </w:rPr>
        <w:t>.</w:t>
      </w:r>
      <w:r w:rsidRPr="00043D52">
        <w:rPr>
          <w:rFonts w:ascii="Palatino Linotype" w:hAnsi="Palatino Linotype" w:cs="Times New Roman"/>
        </w:rPr>
        <w:t xml:space="preserve"> </w:t>
      </w:r>
      <w:r w:rsidR="00B41D21" w:rsidRPr="00043D52">
        <w:rPr>
          <w:rFonts w:ascii="Palatino Linotype" w:hAnsi="Palatino Linotype" w:cs="Times New Roman"/>
        </w:rPr>
        <w:t>T</w:t>
      </w:r>
      <w:r w:rsidRPr="00043D52">
        <w:rPr>
          <w:rFonts w:ascii="Palatino Linotype" w:hAnsi="Palatino Linotype" w:cs="Times New Roman"/>
        </w:rPr>
        <w:t xml:space="preserve">his case study is the result of that evaluation. </w:t>
      </w:r>
    </w:p>
    <w:p w14:paraId="38869519" w14:textId="0EE3F303"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As in other clinical and internship/externship programs, community projects promote understanding and awareness of social justice issues and the notion</w:t>
      </w:r>
      <w:r w:rsidR="00B41D21" w:rsidRPr="00043D52">
        <w:rPr>
          <w:rFonts w:ascii="Palatino Linotype" w:hAnsi="Palatino Linotype" w:cs="Times New Roman"/>
        </w:rPr>
        <w:t>, as noted above,</w:t>
      </w:r>
      <w:r w:rsidRPr="00043D52">
        <w:rPr>
          <w:rFonts w:ascii="Palatino Linotype" w:hAnsi="Palatino Linotype" w:cs="Times New Roman"/>
        </w:rPr>
        <w:t xml:space="preserve"> that </w:t>
      </w:r>
      <w:r w:rsidR="00B41D21" w:rsidRPr="00043D52">
        <w:rPr>
          <w:rFonts w:ascii="Palatino Linotype" w:hAnsi="Palatino Linotype" w:cs="Times New Roman"/>
        </w:rPr>
        <w:t>‘</w:t>
      </w:r>
      <w:r w:rsidRPr="00043D52">
        <w:rPr>
          <w:rFonts w:ascii="Palatino Linotype" w:hAnsi="Palatino Linotype" w:cs="Times New Roman"/>
        </w:rPr>
        <w:t>becoming better people makes</w:t>
      </w:r>
      <w:r w:rsidR="00B41D21" w:rsidRPr="00043D52">
        <w:rPr>
          <w:rFonts w:ascii="Palatino Linotype" w:hAnsi="Palatino Linotype" w:cs="Times New Roman"/>
        </w:rPr>
        <w:t xml:space="preserve"> [for]</w:t>
      </w:r>
      <w:r w:rsidRPr="00043D52">
        <w:rPr>
          <w:rFonts w:ascii="Palatino Linotype" w:hAnsi="Palatino Linotype" w:cs="Times New Roman"/>
        </w:rPr>
        <w:t xml:space="preserve"> better lawyers’.</w:t>
      </w:r>
      <w:r w:rsidRPr="00043D52">
        <w:rPr>
          <w:rStyle w:val="FootnoteReference"/>
          <w:rFonts w:ascii="Palatino Linotype" w:hAnsi="Palatino Linotype" w:cs="Times New Roman"/>
        </w:rPr>
        <w:footnoteReference w:id="66"/>
      </w:r>
      <w:r w:rsidRPr="00043D52">
        <w:rPr>
          <w:rFonts w:ascii="Palatino Linotype" w:hAnsi="Palatino Linotype" w:cs="Times New Roman"/>
        </w:rPr>
        <w:t xml:space="preserve"> Community partners can identify relevant issues or needs and clinical models can then be adapted according to the issue or problem being addressed. Students address a </w:t>
      </w:r>
      <w:r w:rsidRPr="00043D52">
        <w:rPr>
          <w:rFonts w:ascii="Palatino Linotype" w:hAnsi="Palatino Linotype" w:cs="Times New Roman"/>
        </w:rPr>
        <w:lastRenderedPageBreak/>
        <w:t>broader social problem or issue than they might be exposed to in clinics or internships. This can include client work, but does not have to be client-based.</w:t>
      </w:r>
      <w:r w:rsidRPr="00043D52">
        <w:rPr>
          <w:rStyle w:val="FootnoteReference"/>
          <w:rFonts w:ascii="Palatino Linotype" w:hAnsi="Palatino Linotype" w:cs="Times New Roman"/>
        </w:rPr>
        <w:footnoteReference w:id="67"/>
      </w:r>
      <w:r w:rsidRPr="00043D52">
        <w:rPr>
          <w:rFonts w:ascii="Palatino Linotype" w:hAnsi="Palatino Linotype" w:cs="Times New Roman"/>
        </w:rPr>
        <w:t xml:space="preserve"> They are also required to be more creative in identifying solutions to address the community issue, and have more control of the project outcome than in traditional clinical programs. </w:t>
      </w:r>
    </w:p>
    <w:p w14:paraId="4D59DC97" w14:textId="0CB71A46" w:rsidR="00150AB0" w:rsidRPr="00043D52" w:rsidRDefault="00150AB0" w:rsidP="00403A81">
      <w:pPr>
        <w:spacing w:line="480" w:lineRule="auto"/>
        <w:jc w:val="both"/>
        <w:rPr>
          <w:rFonts w:ascii="Palatino Linotype" w:hAnsi="Palatino Linotype" w:cs="Times New Roman"/>
        </w:rPr>
      </w:pPr>
      <w:r w:rsidRPr="00043D52">
        <w:rPr>
          <w:rFonts w:ascii="Palatino Linotype" w:hAnsi="Palatino Linotype" w:cs="Times New Roman"/>
        </w:rPr>
        <w:t>This community project model</w:t>
      </w:r>
      <w:r w:rsidR="00B41D21" w:rsidRPr="00043D52">
        <w:rPr>
          <w:rFonts w:ascii="Palatino Linotype" w:hAnsi="Palatino Linotype" w:cs="Times New Roman"/>
        </w:rPr>
        <w:t xml:space="preserve"> at QUT</w:t>
      </w:r>
      <w:r w:rsidRPr="00043D52">
        <w:rPr>
          <w:rFonts w:ascii="Palatino Linotype" w:hAnsi="Palatino Linotype" w:cs="Times New Roman"/>
        </w:rPr>
        <w:t xml:space="preserve"> goes beyond the traditional field model where students are always supervised by a legal practitioner.  Instead students may be supervised by non-practitioner academics working collaboratively with the community organisation. The size and composition of the student groups working with each community partner varies and is dependent on the capacity of the organisation, the nature of the project and the degree of student interest.  Some groups consist entirely of law students and others involve students from a mix of disciplines, including students from social work, creative industries, information technology, science and psychology. </w:t>
      </w:r>
      <w:r w:rsidRPr="00043D52">
        <w:rPr>
          <w:rFonts w:ascii="Palatino Linotype" w:hAnsi="Palatino Linotype" w:cs="Times New Roman"/>
          <w:bCs/>
        </w:rPr>
        <w:t xml:space="preserve">The mix of student disciplines helps to develop a broader range of project ideas and influences project processes and outcomes.  Particular skills from different disciplines enable students to incorporate a wider range of ideas into their project. </w:t>
      </w:r>
      <w:r w:rsidRPr="00043D52">
        <w:rPr>
          <w:rFonts w:ascii="Palatino Linotype" w:hAnsi="Palatino Linotype" w:cs="Times New Roman"/>
          <w:iCs/>
          <w:lang w:val="en-US"/>
        </w:rPr>
        <w:t xml:space="preserve">Working in interdisciplinary teams also strengthens </w:t>
      </w:r>
      <w:r w:rsidRPr="00043D52">
        <w:rPr>
          <w:rFonts w:ascii="Palatino Linotype" w:hAnsi="Palatino Linotype" w:cs="Times New Roman"/>
        </w:rPr>
        <w:t xml:space="preserve">students’ understanding of social issues. Working with community organisations in teams to address real problems which are complex and have multiple layers helps </w:t>
      </w:r>
      <w:r w:rsidRPr="00043D52">
        <w:rPr>
          <w:rFonts w:ascii="Palatino Linotype" w:hAnsi="Palatino Linotype" w:cs="Times New Roman"/>
        </w:rPr>
        <w:lastRenderedPageBreak/>
        <w:t>students to understand that legal issues never occur in a vacuum and cannot be isolated from other social issues.</w:t>
      </w:r>
      <w:r w:rsidRPr="00043D52">
        <w:rPr>
          <w:rStyle w:val="FootnoteReference"/>
          <w:rFonts w:ascii="Palatino Linotype" w:hAnsi="Palatino Linotype" w:cs="Times New Roman"/>
        </w:rPr>
        <w:footnoteReference w:id="68"/>
      </w:r>
    </w:p>
    <w:p w14:paraId="0B70699F" w14:textId="6777B6AF" w:rsidR="00150AB0" w:rsidRPr="00043D52" w:rsidRDefault="00150AB0" w:rsidP="009D53B1">
      <w:pPr>
        <w:spacing w:line="480" w:lineRule="auto"/>
        <w:jc w:val="both"/>
        <w:rPr>
          <w:rFonts w:ascii="Palatino Linotype" w:hAnsi="Palatino Linotype" w:cs="Times New Roman"/>
        </w:rPr>
      </w:pPr>
      <w:r w:rsidRPr="00043D52">
        <w:rPr>
          <w:rFonts w:ascii="Palatino Linotype" w:hAnsi="Palatino Linotype" w:cs="Times New Roman"/>
        </w:rPr>
        <w:t xml:space="preserve">The opportunity to participate in community-based research is an important aspect of the </w:t>
      </w:r>
      <w:r w:rsidRPr="00043D52">
        <w:rPr>
          <w:rFonts w:ascii="Palatino Linotype" w:hAnsi="Palatino Linotype" w:cs="Times New Roman"/>
          <w:i/>
        </w:rPr>
        <w:t>Legal Clinic</w:t>
      </w:r>
      <w:r w:rsidRPr="00043D52">
        <w:rPr>
          <w:rFonts w:ascii="Palatino Linotype" w:hAnsi="Palatino Linotype" w:cs="Times New Roman"/>
        </w:rPr>
        <w:t xml:space="preserve"> subject.  Students, academics, and community members work collaboratively on research that is useful to the community partners.</w:t>
      </w:r>
      <w:r w:rsidRPr="00043D52">
        <w:rPr>
          <w:rStyle w:val="FootnoteReference"/>
          <w:rFonts w:ascii="Palatino Linotype" w:hAnsi="Palatino Linotype" w:cs="Times New Roman"/>
        </w:rPr>
        <w:footnoteReference w:id="69"/>
      </w:r>
      <w:r w:rsidRPr="00043D52">
        <w:rPr>
          <w:rFonts w:ascii="Palatino Linotype" w:hAnsi="Palatino Linotype" w:cs="Times New Roman"/>
        </w:rPr>
        <w:t xml:space="preserve">  </w:t>
      </w:r>
      <w:r w:rsidR="00B41D21" w:rsidRPr="00043D52">
        <w:rPr>
          <w:rFonts w:ascii="Palatino Linotype" w:hAnsi="Palatino Linotype" w:cs="Times New Roman"/>
        </w:rPr>
        <w:t>In such a model, t</w:t>
      </w:r>
      <w:r w:rsidRPr="00043D52">
        <w:rPr>
          <w:rFonts w:ascii="Palatino Linotype" w:hAnsi="Palatino Linotype" w:cs="Times New Roman"/>
        </w:rPr>
        <w:t>he community partner “serves as an active contributor and agent of change by participating in the design, execution, evaluation, and dissemination of academic research.”</w:t>
      </w:r>
      <w:r w:rsidRPr="00043D52">
        <w:rPr>
          <w:rStyle w:val="FootnoteReference"/>
          <w:rFonts w:ascii="Palatino Linotype" w:hAnsi="Palatino Linotype" w:cs="Times New Roman"/>
        </w:rPr>
        <w:footnoteReference w:id="70"/>
      </w:r>
    </w:p>
    <w:p w14:paraId="122A9369" w14:textId="4CD14D81"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In addition to their placement requirements (which include meetings with their community partner), students attend workshops on campus which address issues relevant to their placement experiences and their development as future legal professionals.  The workshops focus on the fostering of a sense of social responsibility and a </w:t>
      </w:r>
      <w:r w:rsidRPr="00043D52">
        <w:rPr>
          <w:rFonts w:ascii="Palatino Linotype" w:hAnsi="Palatino Linotype" w:cs="Times New Roman"/>
          <w:i/>
        </w:rPr>
        <w:t>pro bono</w:t>
      </w:r>
      <w:r w:rsidRPr="00043D52">
        <w:rPr>
          <w:rFonts w:ascii="Palatino Linotype" w:hAnsi="Palatino Linotype" w:cs="Times New Roman"/>
        </w:rPr>
        <w:t xml:space="preserve"> ethos.  Topics covered in the workshops include reflective practice, alternative dispute resolution</w:t>
      </w:r>
      <w:r w:rsidR="00B41D21" w:rsidRPr="00043D52">
        <w:rPr>
          <w:rFonts w:ascii="Palatino Linotype" w:hAnsi="Palatino Linotype" w:cs="Times New Roman"/>
        </w:rPr>
        <w:t xml:space="preserve"> (ADR)</w:t>
      </w:r>
      <w:r w:rsidRPr="00043D52">
        <w:rPr>
          <w:rFonts w:ascii="Palatino Linotype" w:hAnsi="Palatino Linotype" w:cs="Times New Roman"/>
        </w:rPr>
        <w:t xml:space="preserve"> and wellness, cultural competency, collaborative practice and ethical and professional obligations, including </w:t>
      </w:r>
      <w:r w:rsidRPr="00043D52">
        <w:rPr>
          <w:rFonts w:ascii="Palatino Linotype" w:hAnsi="Palatino Linotype" w:cs="Times New Roman"/>
          <w:i/>
        </w:rPr>
        <w:t>pro bono</w:t>
      </w:r>
      <w:r w:rsidRPr="00043D52">
        <w:rPr>
          <w:rFonts w:ascii="Palatino Linotype" w:hAnsi="Palatino Linotype" w:cs="Times New Roman"/>
        </w:rPr>
        <w:t xml:space="preserve"> work. It has been argued that lawyers’ professional obligations </w:t>
      </w:r>
      <w:r w:rsidRPr="00043D52">
        <w:rPr>
          <w:rFonts w:ascii="Palatino Linotype" w:hAnsi="Palatino Linotype" w:cs="Times New Roman"/>
        </w:rPr>
        <w:lastRenderedPageBreak/>
        <w:t>extend to active engagement in public debate about society, renewed focus in legal education on legal ethics, engagement in dialogue about law firms’ position as corporate citizens and commitment to access to justice and equality under the law.</w:t>
      </w:r>
      <w:r w:rsidRPr="00043D52">
        <w:rPr>
          <w:rStyle w:val="FootnoteReference"/>
          <w:rFonts w:ascii="Palatino Linotype" w:hAnsi="Palatino Linotype" w:cs="Times New Roman"/>
        </w:rPr>
        <w:footnoteReference w:id="71"/>
      </w:r>
      <w:r w:rsidRPr="00043D52">
        <w:rPr>
          <w:rFonts w:ascii="Palatino Linotype" w:hAnsi="Palatino Linotype" w:cs="Times New Roman"/>
        </w:rPr>
        <w:t xml:space="preserve"> </w:t>
      </w:r>
      <w:r w:rsidR="00CB4086" w:rsidRPr="00043D52">
        <w:rPr>
          <w:rFonts w:ascii="Palatino Linotype" w:hAnsi="Palatino Linotype" w:cs="Times New Roman"/>
        </w:rPr>
        <w:t>QUT s</w:t>
      </w:r>
      <w:r w:rsidRPr="00043D52">
        <w:rPr>
          <w:rFonts w:ascii="Palatino Linotype" w:hAnsi="Palatino Linotype" w:cs="Times New Roman"/>
        </w:rPr>
        <w:t>tudents are encouraged to engage with these concepts through listening to guest speakers (including academic specialists and members of the legal profession), participation in workshop activities and completion of readings and reflective writing tasks.</w:t>
      </w:r>
    </w:p>
    <w:p w14:paraId="0665F126" w14:textId="4550BBE3"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An important component of the assessment in the </w:t>
      </w:r>
      <w:r w:rsidR="00500B33" w:rsidRPr="00043D52">
        <w:rPr>
          <w:rFonts w:ascii="Palatino Linotype" w:hAnsi="Palatino Linotype" w:cs="Times New Roman"/>
        </w:rPr>
        <w:t>l</w:t>
      </w:r>
      <w:r w:rsidRPr="00043D52">
        <w:rPr>
          <w:rFonts w:ascii="Palatino Linotype" w:hAnsi="Palatino Linotype" w:cs="Times New Roman"/>
        </w:rPr>
        <w:t xml:space="preserve">egal </w:t>
      </w:r>
      <w:r w:rsidR="00500B33" w:rsidRPr="00043D52">
        <w:rPr>
          <w:rFonts w:ascii="Palatino Linotype" w:hAnsi="Palatino Linotype" w:cs="Times New Roman"/>
        </w:rPr>
        <w:t>c</w:t>
      </w:r>
      <w:r w:rsidRPr="00043D52">
        <w:rPr>
          <w:rFonts w:ascii="Palatino Linotype" w:hAnsi="Palatino Linotype" w:cs="Times New Roman"/>
        </w:rPr>
        <w:t>linic subject is reflective assessment.  As has been reported elsewhere,</w:t>
      </w:r>
      <w:r w:rsidRPr="00043D52">
        <w:rPr>
          <w:rStyle w:val="FootnoteReference"/>
          <w:rFonts w:ascii="Palatino Linotype" w:hAnsi="Palatino Linotype" w:cs="Times New Roman"/>
        </w:rPr>
        <w:footnoteReference w:id="72"/>
      </w:r>
      <w:r w:rsidRPr="00043D52">
        <w:rPr>
          <w:rFonts w:ascii="Palatino Linotype" w:hAnsi="Palatino Linotype" w:cs="Times New Roman"/>
        </w:rPr>
        <w:t xml:space="preserve"> the authors’ experience has been that students find the process of reflecting challenging, and reflective assessment is resisted by some students. Accordingly, care is taken to ensure students are taught reflective practice, receive feedback on their reflective writing, are provided with resources to guide their reflection and that reflective activities are undertaken in class to develop students’ skills.  Students are required to adopt the </w:t>
      </w:r>
      <w:r w:rsidRPr="00043D52">
        <w:rPr>
          <w:rFonts w:ascii="Palatino Linotype" w:hAnsi="Palatino Linotype" w:cs="Times New Roman"/>
          <w:i/>
        </w:rPr>
        <w:t>4R’s Model of Reflective Thinking</w:t>
      </w:r>
      <w:r w:rsidRPr="00043D52">
        <w:rPr>
          <w:rFonts w:ascii="Palatino Linotype" w:hAnsi="Palatino Linotype" w:cs="Times New Roman"/>
        </w:rPr>
        <w:t xml:space="preserve"> which involves four stages of reflection developed by Carrington and </w:t>
      </w:r>
      <w:proofErr w:type="spellStart"/>
      <w:r w:rsidRPr="00043D52">
        <w:rPr>
          <w:rFonts w:ascii="Palatino Linotype" w:hAnsi="Palatino Linotype" w:cs="Times New Roman"/>
        </w:rPr>
        <w:t>Selva</w:t>
      </w:r>
      <w:proofErr w:type="spellEnd"/>
      <w:r w:rsidRPr="00043D52">
        <w:rPr>
          <w:rFonts w:ascii="Palatino Linotype" w:hAnsi="Palatino Linotype" w:cs="Times New Roman"/>
        </w:rPr>
        <w:t>;</w:t>
      </w:r>
      <w:r w:rsidRPr="00043D52">
        <w:rPr>
          <w:rStyle w:val="FootnoteReference"/>
          <w:rFonts w:ascii="Palatino Linotype" w:hAnsi="Palatino Linotype" w:cs="Times New Roman"/>
        </w:rPr>
        <w:footnoteReference w:id="73"/>
      </w:r>
      <w:r w:rsidRPr="00043D52">
        <w:rPr>
          <w:rFonts w:ascii="Palatino Linotype" w:hAnsi="Palatino Linotype" w:cs="Times New Roman"/>
        </w:rPr>
        <w:t xml:space="preserve"> reporting, relating, reasoning and reconstructing.  The levels increase in complexity and move from description of, and personal response to, an issue or </w:t>
      </w:r>
      <w:r w:rsidRPr="00043D52">
        <w:rPr>
          <w:rFonts w:ascii="Palatino Linotype" w:hAnsi="Palatino Linotype" w:cs="Times New Roman"/>
        </w:rPr>
        <w:lastRenderedPageBreak/>
        <w:t>situation; to the use of theory and experience to explain, interrogate, and ultimately transform practice.</w:t>
      </w:r>
      <w:r w:rsidRPr="00043D52">
        <w:rPr>
          <w:rStyle w:val="FootnoteReference"/>
          <w:rFonts w:ascii="Palatino Linotype" w:hAnsi="Palatino Linotype" w:cs="Times New Roman"/>
        </w:rPr>
        <w:footnoteReference w:id="74"/>
      </w:r>
      <w:r w:rsidRPr="00043D52">
        <w:rPr>
          <w:rFonts w:ascii="Palatino Linotype" w:hAnsi="Palatino Linotype" w:cs="Times New Roman"/>
        </w:rPr>
        <w:t xml:space="preserve">  Students are also assisted in workshops to consider the concept of “privilege” and </w:t>
      </w:r>
      <w:r w:rsidR="00CB4086" w:rsidRPr="00043D52">
        <w:rPr>
          <w:rFonts w:ascii="Palatino Linotype" w:hAnsi="Palatino Linotype" w:cs="Times New Roman"/>
        </w:rPr>
        <w:t xml:space="preserve">challenged </w:t>
      </w:r>
      <w:r w:rsidRPr="00043D52">
        <w:rPr>
          <w:rFonts w:ascii="Palatino Linotype" w:hAnsi="Palatino Linotype" w:cs="Times New Roman"/>
        </w:rPr>
        <w:t xml:space="preserve">to “unpack their personal backpacks” which helps them to identify their own values and beliefs and how these impact on their understanding of issues raised </w:t>
      </w:r>
      <w:r w:rsidR="00CB4086" w:rsidRPr="00043D52">
        <w:rPr>
          <w:rFonts w:ascii="Palatino Linotype" w:hAnsi="Palatino Linotype" w:cs="Times New Roman"/>
        </w:rPr>
        <w:t xml:space="preserve">by </w:t>
      </w:r>
      <w:r w:rsidRPr="00043D52">
        <w:rPr>
          <w:rFonts w:ascii="Palatino Linotype" w:hAnsi="Palatino Linotype" w:cs="Times New Roman"/>
        </w:rPr>
        <w:t xml:space="preserve">their respective </w:t>
      </w:r>
      <w:r w:rsidR="00CB4086" w:rsidRPr="00043D52">
        <w:rPr>
          <w:rFonts w:ascii="Palatino Linotype" w:hAnsi="Palatino Linotype" w:cs="Times New Roman"/>
        </w:rPr>
        <w:t>community</w:t>
      </w:r>
      <w:r w:rsidRPr="00043D52">
        <w:rPr>
          <w:rFonts w:ascii="Palatino Linotype" w:hAnsi="Palatino Linotype" w:cs="Times New Roman"/>
        </w:rPr>
        <w:t xml:space="preserve"> p</w:t>
      </w:r>
      <w:r w:rsidR="00CB4086" w:rsidRPr="00043D52">
        <w:rPr>
          <w:rFonts w:ascii="Palatino Linotype" w:hAnsi="Palatino Linotype" w:cs="Times New Roman"/>
        </w:rPr>
        <w:t>artners</w:t>
      </w:r>
      <w:r w:rsidRPr="00043D52">
        <w:rPr>
          <w:rFonts w:ascii="Palatino Linotype" w:hAnsi="Palatino Linotype" w:cs="Times New Roman"/>
        </w:rPr>
        <w:t>.</w:t>
      </w:r>
      <w:r w:rsidRPr="00043D52">
        <w:rPr>
          <w:rStyle w:val="FootnoteReference"/>
          <w:rFonts w:ascii="Palatino Linotype" w:hAnsi="Palatino Linotype" w:cs="Times New Roman"/>
        </w:rPr>
        <w:footnoteReference w:id="75"/>
      </w:r>
    </w:p>
    <w:p w14:paraId="443CE002" w14:textId="6F9B7E82" w:rsidR="00150AB0" w:rsidRPr="00043D52" w:rsidRDefault="00150AB0" w:rsidP="0091111C">
      <w:pPr>
        <w:spacing w:line="480" w:lineRule="auto"/>
        <w:jc w:val="both"/>
        <w:rPr>
          <w:rFonts w:ascii="Palatino Linotype" w:hAnsi="Palatino Linotype" w:cs="Times New Roman"/>
          <w:b/>
        </w:rPr>
      </w:pPr>
      <w:r w:rsidRPr="00043D52">
        <w:rPr>
          <w:rFonts w:ascii="Palatino Linotype" w:hAnsi="Palatino Linotype" w:cs="Times New Roman"/>
        </w:rPr>
        <w:t xml:space="preserve">For the first reflection task of the semester (out of two total) students are provided with relevant readings and guiding questions for each of the stages of reflection specifically relevant to the topic.  A developmental approach is taken with more guidance given for the first reflection and a more open ended approach taken to the final reflection due at the end of semester. The assessment is rigorous, and is graded on the usual scale, with set criteria for marking which relate to the </w:t>
      </w:r>
      <w:r w:rsidRPr="00043D52">
        <w:rPr>
          <w:rFonts w:ascii="Palatino Linotype" w:hAnsi="Palatino Linotype" w:cs="Times New Roman"/>
          <w:i/>
        </w:rPr>
        <w:t>4R’s Model of Reflective Thinking</w:t>
      </w:r>
      <w:r w:rsidRPr="00043D52">
        <w:rPr>
          <w:rFonts w:ascii="Palatino Linotype" w:hAnsi="Palatino Linotype" w:cs="Times New Roman"/>
        </w:rPr>
        <w:t>.</w:t>
      </w:r>
      <w:r w:rsidRPr="00043D52">
        <w:rPr>
          <w:rStyle w:val="FootnoteReference"/>
          <w:rFonts w:ascii="Palatino Linotype" w:hAnsi="Palatino Linotype" w:cs="Times New Roman"/>
        </w:rPr>
        <w:footnoteReference w:id="76"/>
      </w:r>
      <w:r w:rsidRPr="00043D52">
        <w:rPr>
          <w:rFonts w:ascii="Palatino Linotype" w:hAnsi="Palatino Linotype" w:cs="Times New Roman"/>
        </w:rPr>
        <w:t xml:space="preserve"> </w:t>
      </w:r>
    </w:p>
    <w:p w14:paraId="6E6A8C7B" w14:textId="77777777" w:rsidR="00150AB0" w:rsidRPr="00043D52" w:rsidRDefault="00150AB0" w:rsidP="0091111C">
      <w:pPr>
        <w:spacing w:line="480" w:lineRule="auto"/>
        <w:jc w:val="both"/>
        <w:rPr>
          <w:rFonts w:ascii="Palatino Linotype" w:hAnsi="Palatino Linotype" w:cs="Times New Roman"/>
          <w:b/>
        </w:rPr>
      </w:pPr>
      <w:r w:rsidRPr="00043D52">
        <w:rPr>
          <w:rFonts w:ascii="Palatino Linotype" w:hAnsi="Palatino Linotype" w:cs="Times New Roman"/>
          <w:b/>
        </w:rPr>
        <w:t>Methodology</w:t>
      </w:r>
    </w:p>
    <w:p w14:paraId="089C5022" w14:textId="3B51324B" w:rsidR="00150AB0" w:rsidRPr="00043D52" w:rsidRDefault="00150AB0" w:rsidP="00676CAF">
      <w:pPr>
        <w:spacing w:line="480" w:lineRule="auto"/>
        <w:jc w:val="both"/>
        <w:rPr>
          <w:rFonts w:ascii="Palatino Linotype" w:hAnsi="Palatino Linotype" w:cs="Times New Roman"/>
        </w:rPr>
      </w:pPr>
      <w:r w:rsidRPr="00043D52">
        <w:rPr>
          <w:rFonts w:ascii="Palatino Linotype" w:hAnsi="Palatino Linotype" w:cs="Times New Roman"/>
        </w:rPr>
        <w:t xml:space="preserve">The community projects were evaluated qualitatively through focus groups conducted by an independent researcher. Focus groups are a method of qualitative </w:t>
      </w:r>
      <w:r w:rsidRPr="00043D52">
        <w:rPr>
          <w:rFonts w:ascii="Palatino Linotype" w:hAnsi="Palatino Linotype" w:cs="Times New Roman"/>
        </w:rPr>
        <w:lastRenderedPageBreak/>
        <w:t xml:space="preserve">analysis which typically </w:t>
      </w:r>
      <w:r w:rsidRPr="00043D52">
        <w:rPr>
          <w:rFonts w:ascii="Palatino Linotype" w:hAnsi="Palatino Linotype" w:cs="Times New Roman"/>
          <w:lang w:val="en-US"/>
        </w:rPr>
        <w:t>involve 6–12 people responding to informal questions posed by an interviewer.</w:t>
      </w:r>
      <w:r w:rsidRPr="00043D52">
        <w:rPr>
          <w:rStyle w:val="FootnoteReference"/>
          <w:rFonts w:ascii="Palatino Linotype" w:hAnsi="Palatino Linotype" w:cs="Times New Roman"/>
          <w:lang w:val="en-US"/>
        </w:rPr>
        <w:footnoteReference w:id="77"/>
      </w:r>
      <w:r w:rsidRPr="00043D52">
        <w:rPr>
          <w:rFonts w:ascii="Palatino Linotype" w:hAnsi="Palatino Linotype" w:cs="Times New Roman"/>
          <w:lang w:val="en-US"/>
        </w:rPr>
        <w:t xml:space="preserve"> They have been described as</w:t>
      </w:r>
      <w:r w:rsidRPr="00043D52">
        <w:rPr>
          <w:rFonts w:ascii="Palatino Linotype" w:hAnsi="Palatino Linotype" w:cs="Times New Roman"/>
        </w:rPr>
        <w:t xml:space="preserve">: </w:t>
      </w:r>
    </w:p>
    <w:p w14:paraId="6FBAEF28" w14:textId="127C0684" w:rsidR="00150AB0" w:rsidRPr="00043D52" w:rsidRDefault="00013A36" w:rsidP="00013A36">
      <w:pPr>
        <w:spacing w:line="360" w:lineRule="auto"/>
        <w:ind w:left="720"/>
        <w:jc w:val="both"/>
        <w:rPr>
          <w:rFonts w:ascii="Palatino Linotype" w:hAnsi="Palatino Linotype" w:cs="Times New Roman"/>
          <w:lang w:val="en-US"/>
        </w:rPr>
      </w:pPr>
      <w:r>
        <w:rPr>
          <w:rFonts w:ascii="Palatino Linotype" w:hAnsi="Palatino Linotype" w:cs="Times New Roman"/>
          <w:i/>
          <w:lang w:val="en-US"/>
        </w:rPr>
        <w:t>”</w:t>
      </w:r>
      <w:r w:rsidR="00150AB0" w:rsidRPr="00043D52">
        <w:rPr>
          <w:rFonts w:ascii="Palatino Linotype" w:hAnsi="Palatino Linotype" w:cs="Times New Roman"/>
          <w:i/>
          <w:lang w:val="en-US"/>
        </w:rPr>
        <w:t xml:space="preserve">…performances in which the participants jointly produce accounts about proposed topics in a socially </w:t>
      </w:r>
      <w:proofErr w:type="spellStart"/>
      <w:r w:rsidR="00150AB0" w:rsidRPr="00043D52">
        <w:rPr>
          <w:rFonts w:ascii="Palatino Linotype" w:hAnsi="Palatino Linotype" w:cs="Times New Roman"/>
          <w:i/>
          <w:lang w:val="en-US"/>
        </w:rPr>
        <w:t>organised</w:t>
      </w:r>
      <w:proofErr w:type="spellEnd"/>
      <w:r w:rsidR="00150AB0" w:rsidRPr="00043D52">
        <w:rPr>
          <w:rFonts w:ascii="Palatino Linotype" w:hAnsi="Palatino Linotype" w:cs="Times New Roman"/>
          <w:i/>
          <w:lang w:val="en-US"/>
        </w:rPr>
        <w:t xml:space="preserve"> situation.”</w:t>
      </w:r>
      <w:r w:rsidR="00150AB0" w:rsidRPr="00043D52">
        <w:rPr>
          <w:rStyle w:val="FootnoteReference"/>
          <w:rFonts w:ascii="Palatino Linotype" w:hAnsi="Palatino Linotype" w:cs="Times New Roman"/>
          <w:lang w:val="en-US"/>
        </w:rPr>
        <w:footnoteReference w:id="78"/>
      </w:r>
    </w:p>
    <w:p w14:paraId="7175C452" w14:textId="77777777" w:rsidR="00150AB0" w:rsidRPr="00043D52" w:rsidRDefault="00150AB0" w:rsidP="00676CAF">
      <w:pPr>
        <w:spacing w:line="480" w:lineRule="auto"/>
        <w:jc w:val="both"/>
        <w:rPr>
          <w:rFonts w:ascii="Palatino Linotype" w:hAnsi="Palatino Linotype" w:cs="Times New Roman"/>
        </w:rPr>
      </w:pPr>
      <w:r w:rsidRPr="00043D52">
        <w:rPr>
          <w:rFonts w:ascii="Palatino Linotype" w:hAnsi="Palatino Linotype" w:cs="Times New Roman"/>
        </w:rPr>
        <w:t>The use of focus groups emerged from the study of sociology in the 1920s.</w:t>
      </w:r>
      <w:r w:rsidRPr="00043D52">
        <w:rPr>
          <w:rStyle w:val="FootnoteReference"/>
          <w:rFonts w:ascii="Palatino Linotype" w:hAnsi="Palatino Linotype" w:cs="Times New Roman"/>
        </w:rPr>
        <w:footnoteReference w:id="79"/>
      </w:r>
      <w:r w:rsidRPr="00043D52">
        <w:rPr>
          <w:rFonts w:ascii="Palatino Linotype" w:hAnsi="Palatino Linotype" w:cs="Times New Roman"/>
        </w:rPr>
        <w:t xml:space="preserve"> Since that time, they have been used predominately for market research purposes to serve the needs of business (particularly the retail sector).</w:t>
      </w:r>
      <w:r w:rsidRPr="00043D52">
        <w:rPr>
          <w:rStyle w:val="FootnoteReference"/>
          <w:rFonts w:ascii="Palatino Linotype" w:hAnsi="Palatino Linotype" w:cs="Times New Roman"/>
        </w:rPr>
        <w:footnoteReference w:id="80"/>
      </w:r>
      <w:r w:rsidRPr="00043D52">
        <w:rPr>
          <w:rFonts w:ascii="Palatino Linotype" w:hAnsi="Palatino Linotype" w:cs="Times New Roman"/>
        </w:rPr>
        <w:t xml:space="preserve"> More recently, however, they have been found to be a useful tool in gathering opinions on a range of political issues.</w:t>
      </w:r>
      <w:r w:rsidRPr="00043D52">
        <w:rPr>
          <w:rStyle w:val="FootnoteReference"/>
          <w:rFonts w:ascii="Palatino Linotype" w:hAnsi="Palatino Linotype" w:cs="Times New Roman"/>
        </w:rPr>
        <w:footnoteReference w:id="81"/>
      </w:r>
      <w:r w:rsidRPr="00043D52">
        <w:rPr>
          <w:rFonts w:ascii="Palatino Linotype" w:hAnsi="Palatino Linotype" w:cs="Times New Roman"/>
        </w:rPr>
        <w:t xml:space="preserve">  </w:t>
      </w:r>
    </w:p>
    <w:p w14:paraId="4DF9621E" w14:textId="77777777" w:rsidR="00150AB0" w:rsidRPr="00043D52" w:rsidRDefault="00150AB0" w:rsidP="00676CAF">
      <w:pPr>
        <w:spacing w:line="480" w:lineRule="auto"/>
        <w:jc w:val="both"/>
        <w:rPr>
          <w:rFonts w:ascii="Palatino Linotype" w:hAnsi="Palatino Linotype" w:cs="Times New Roman"/>
          <w:lang w:val="en-US"/>
        </w:rPr>
      </w:pPr>
      <w:r w:rsidRPr="00043D52">
        <w:rPr>
          <w:rFonts w:ascii="Palatino Linotype" w:hAnsi="Palatino Linotype" w:cs="Times New Roman"/>
          <w:lang w:val="en-US"/>
        </w:rPr>
        <w:t>One of the biggest advantages of focus groups is that they permit researchers to “observe a large amount of interaction on a specific topic in a short time.”</w:t>
      </w:r>
      <w:r w:rsidRPr="00043D52">
        <w:rPr>
          <w:rStyle w:val="FootnoteReference"/>
          <w:rFonts w:ascii="Palatino Linotype" w:hAnsi="Palatino Linotype" w:cs="Times New Roman"/>
          <w:lang w:val="en-US"/>
        </w:rPr>
        <w:footnoteReference w:id="82"/>
      </w:r>
      <w:r w:rsidRPr="00043D52">
        <w:rPr>
          <w:rFonts w:ascii="Palatino Linotype" w:hAnsi="Palatino Linotype" w:cs="Times New Roman"/>
          <w:lang w:val="en-US"/>
        </w:rPr>
        <w:t xml:space="preserve"> Several perspectives on an issue can be raised and participants have an opportunity to qualify their answers. The interviewer can also seek to </w:t>
      </w:r>
      <w:r w:rsidRPr="00043D52">
        <w:rPr>
          <w:rFonts w:ascii="Palatino Linotype" w:hAnsi="Palatino Linotype" w:cs="Times New Roman"/>
        </w:rPr>
        <w:t xml:space="preserve">clarify participant responses and direct the emphasis of their questioning accordingly. </w:t>
      </w:r>
      <w:r w:rsidRPr="00043D52">
        <w:rPr>
          <w:rFonts w:ascii="Palatino Linotype" w:hAnsi="Palatino Linotype" w:cs="Times New Roman"/>
          <w:lang w:val="en-US"/>
        </w:rPr>
        <w:t xml:space="preserve">Focus groups can also </w:t>
      </w:r>
      <w:r w:rsidRPr="00043D52">
        <w:rPr>
          <w:rFonts w:ascii="Palatino Linotype" w:hAnsi="Palatino Linotype" w:cs="Times New Roman"/>
        </w:rPr>
        <w:t>facilitate discussion of sensitive issues and can elucidate more honest responses than might otherwise be forthcoming in a more formal, structured and ‘routine’ method.</w:t>
      </w:r>
      <w:r w:rsidRPr="00043D52">
        <w:rPr>
          <w:rStyle w:val="FootnoteReference"/>
          <w:rFonts w:ascii="Palatino Linotype" w:hAnsi="Palatino Linotype" w:cs="Times New Roman"/>
        </w:rPr>
        <w:footnoteReference w:id="83"/>
      </w:r>
      <w:r w:rsidRPr="00043D52">
        <w:rPr>
          <w:rFonts w:ascii="Palatino Linotype" w:hAnsi="Palatino Linotype" w:cs="Times New Roman"/>
          <w:lang w:val="en-US"/>
        </w:rPr>
        <w:t xml:space="preserve"> Moreover, the face-to-face nature of focus groups allows non-verbal communication </w:t>
      </w:r>
      <w:r w:rsidRPr="00043D52">
        <w:rPr>
          <w:rFonts w:ascii="Palatino Linotype" w:hAnsi="Palatino Linotype" w:cs="Times New Roman"/>
          <w:lang w:val="en-US"/>
        </w:rPr>
        <w:lastRenderedPageBreak/>
        <w:t xml:space="preserve">to play a role in influencing data outcomes, a role often overlooked in purely written methodologies. </w:t>
      </w:r>
    </w:p>
    <w:p w14:paraId="78EFFFD8" w14:textId="4DBEA412"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lang w:val="en-US"/>
        </w:rPr>
        <w:t>In addition to the above (more general) benefits, a focus group methodology was deemed appropriate because it would produce the best type of data for the research question being: whether pedagogical goals are being met in the way that the course is being delivered. Course designers are constantly searching for creative ways of addressing needs of their students through the structure and delivery of the course. Focus groups provide an opportunity to explore several possible ideas during the session itself and ‘test the waters’ with the idea against the other students in the group. Lastly, the methodology was deemed appropriate due to the small group size of the clinics themselves (4-6 students) such that students felt comfortable collaborating and sharing ideas in that environment. Similarly, focus groups also align with ‘reflective practice’ and ‘participatory action research’ techniques which are familiar to the students as part of the required assessment in the course and elsewhere at QUT.</w:t>
      </w:r>
    </w:p>
    <w:p w14:paraId="2A37002D" w14:textId="25A926C0"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Participants were recruited for the study via a notice on the subject’s learning managing system website</w:t>
      </w:r>
      <w:r w:rsidR="001E63FF" w:rsidRPr="00043D52">
        <w:rPr>
          <w:rStyle w:val="FootnoteReference"/>
          <w:rFonts w:ascii="Palatino Linotype" w:hAnsi="Palatino Linotype" w:cs="Times New Roman"/>
          <w:lang w:val="en-US"/>
        </w:rPr>
        <w:footnoteReference w:id="84"/>
      </w:r>
      <w:r w:rsidRPr="00043D52">
        <w:rPr>
          <w:rFonts w:ascii="Palatino Linotype" w:hAnsi="Palatino Linotype" w:cs="Times New Roman"/>
        </w:rPr>
        <w:t xml:space="preserve">.  Two focus groups were conducted, each lasting approximately 1.5 hours. The first group included 5 participants. The second group </w:t>
      </w:r>
      <w:r w:rsidRPr="00043D52">
        <w:rPr>
          <w:rFonts w:ascii="Palatino Linotype" w:hAnsi="Palatino Linotype" w:cs="Times New Roman"/>
        </w:rPr>
        <w:lastRenderedPageBreak/>
        <w:t>included three participants. Prior to commencing the group discussion, participants were provided with an information sheet detailing the purpose of the research, the voluntary nature of their involvement, and the measures put in place to ensure their anonymity/confidentiality.  All students signed a written consent form indicating their approval to participate and were provided with a $25.00 gift card to thank them for their time.</w:t>
      </w:r>
    </w:p>
    <w:p w14:paraId="1B0E77D2" w14:textId="383AFAD0"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Focus groups were conducted using a semi-structured discussion guide. The facilitator used prompts and member checking (e.g., what do you mean by that, can you explain further, do others agree?) during discussions to clarify understanding of participant responses and to gain a deeper understanding of the point at hand.  Both discussion sessions were audiotaped and were transcribed verbatim by a professional transcription company. Once transcribed, the audiotapes will be destroyed.</w:t>
      </w:r>
    </w:p>
    <w:p w14:paraId="151772FB" w14:textId="5A3ECEDE" w:rsidR="00150AB0" w:rsidRPr="00043D52" w:rsidRDefault="00150AB0" w:rsidP="0091111C">
      <w:pPr>
        <w:spacing w:line="480" w:lineRule="auto"/>
        <w:jc w:val="both"/>
        <w:rPr>
          <w:rFonts w:ascii="Palatino Linotype" w:hAnsi="Palatino Linotype" w:cs="Times New Roman"/>
          <w:b/>
        </w:rPr>
      </w:pPr>
      <w:r w:rsidRPr="00043D52">
        <w:rPr>
          <w:rFonts w:ascii="Palatino Linotype" w:hAnsi="Palatino Linotype" w:cs="Times New Roman"/>
        </w:rPr>
        <w:t xml:space="preserve">A thematic data analysis was completed by a sole researcher. The analysis process was achieved through a number of steps and with the aid of the program </w:t>
      </w:r>
      <w:proofErr w:type="spellStart"/>
      <w:r w:rsidRPr="00043D52">
        <w:rPr>
          <w:rFonts w:ascii="Palatino Linotype" w:hAnsi="Palatino Linotype" w:cs="Times New Roman"/>
        </w:rPr>
        <w:t>Nvivo</w:t>
      </w:r>
      <w:proofErr w:type="spellEnd"/>
      <w:r w:rsidRPr="00043D52">
        <w:rPr>
          <w:rFonts w:ascii="Palatino Linotype" w:hAnsi="Palatino Linotype" w:cs="Times New Roman"/>
        </w:rPr>
        <w:t xml:space="preserve"> (QRS). Data were initially coded according to the overarching research questions (e.g., why did students choose to enrol in the subject, what did they like best about the subject). A second round of coding was then undertaken based on the emerging themes within each of these initial categories. For example, two strong themes were identified within the realms of why students chose to undertake the subject, these being to build their resume and to explore work options. Where sub-themes within </w:t>
      </w:r>
      <w:r w:rsidRPr="00043D52">
        <w:rPr>
          <w:rFonts w:ascii="Palatino Linotype" w:hAnsi="Palatino Linotype" w:cs="Times New Roman"/>
        </w:rPr>
        <w:lastRenderedPageBreak/>
        <w:t>these key themes emerged, they were also identified. Prominent themes were identified based on both the number of students raising the point as well as the depth of discussion around the particular concept or issue.</w:t>
      </w:r>
    </w:p>
    <w:p w14:paraId="3FA2C9CC" w14:textId="42FC64A9" w:rsidR="00150AB0" w:rsidRPr="00043D52" w:rsidRDefault="00150AB0" w:rsidP="0091111C">
      <w:pPr>
        <w:spacing w:line="480" w:lineRule="auto"/>
        <w:jc w:val="both"/>
        <w:rPr>
          <w:rFonts w:ascii="Palatino Linotype" w:hAnsi="Palatino Linotype" w:cs="Times New Roman"/>
          <w:b/>
        </w:rPr>
      </w:pPr>
      <w:r w:rsidRPr="00043D52">
        <w:rPr>
          <w:rFonts w:ascii="Palatino Linotype" w:hAnsi="Palatino Linotype" w:cs="Times New Roman"/>
          <w:b/>
        </w:rPr>
        <w:t>Results of the Research</w:t>
      </w:r>
    </w:p>
    <w:p w14:paraId="050E6E7C" w14:textId="62523974" w:rsidR="00150AB0" w:rsidRPr="00043D52" w:rsidRDefault="00150AB0" w:rsidP="000D7419">
      <w:pPr>
        <w:spacing w:line="480" w:lineRule="auto"/>
        <w:jc w:val="both"/>
        <w:rPr>
          <w:rFonts w:ascii="Palatino Linotype" w:hAnsi="Palatino Linotype" w:cs="Times New Roman"/>
          <w:i/>
        </w:rPr>
      </w:pPr>
      <w:r w:rsidRPr="00043D52">
        <w:rPr>
          <w:rFonts w:ascii="Palatino Linotype" w:hAnsi="Palatino Linotype" w:cs="Times New Roman"/>
        </w:rPr>
        <w:t xml:space="preserve">The purpose of the research was to ascertain whether student learning in community projects adopting service-learning pedagogy are similar to learning outcomes resulting from other </w:t>
      </w:r>
      <w:r w:rsidR="006D3C46" w:rsidRPr="00043D52">
        <w:rPr>
          <w:rFonts w:ascii="Palatino Linotype" w:hAnsi="Palatino Linotype" w:cs="Times New Roman"/>
        </w:rPr>
        <w:t>CLE</w:t>
      </w:r>
      <w:r w:rsidRPr="00043D52">
        <w:rPr>
          <w:rFonts w:ascii="Palatino Linotype" w:hAnsi="Palatino Linotype" w:cs="Times New Roman"/>
        </w:rPr>
        <w:t xml:space="preserve"> experiences, particularly community lawyering clinics. The analysis of the focus groups suggested student learning outcomes were  contained within three overarching themes: legal skills including technical skills and broader skills around the lawyer/client relationship; transferable generic skills; and raised awareness of </w:t>
      </w:r>
      <w:r w:rsidRPr="00043D52">
        <w:rPr>
          <w:rFonts w:ascii="Palatino Linotype" w:hAnsi="Palatino Linotype" w:cs="Times New Roman"/>
          <w:i/>
        </w:rPr>
        <w:t>pro bono</w:t>
      </w:r>
      <w:r w:rsidRPr="00043D52">
        <w:rPr>
          <w:rFonts w:ascii="Palatino Linotype" w:hAnsi="Palatino Linotype" w:cs="Times New Roman"/>
        </w:rPr>
        <w:t xml:space="preserve"> work and helping individuals to access legal services.  In addition, a strong theme also emerged in relation to the transformational impact of the subject in relation to career direction and the development of professional identity. </w:t>
      </w:r>
    </w:p>
    <w:p w14:paraId="15B131DD" w14:textId="77777777" w:rsidR="00150AB0" w:rsidRPr="001E63FF" w:rsidRDefault="00150AB0" w:rsidP="0091111C">
      <w:pPr>
        <w:spacing w:line="480" w:lineRule="auto"/>
        <w:jc w:val="both"/>
        <w:rPr>
          <w:rFonts w:ascii="Palatino Linotype" w:hAnsi="Palatino Linotype" w:cs="Times New Roman"/>
          <w:b/>
          <w:i/>
        </w:rPr>
      </w:pPr>
      <w:r w:rsidRPr="001E63FF">
        <w:rPr>
          <w:rFonts w:ascii="Palatino Linotype" w:hAnsi="Palatino Linotype" w:cs="Times New Roman"/>
          <w:b/>
          <w:i/>
        </w:rPr>
        <w:t>Did students develop legal skills as a result of undertaking community projects?</w:t>
      </w:r>
    </w:p>
    <w:p w14:paraId="30A5AA90" w14:textId="49FEAE32"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While literature in relation to </w:t>
      </w:r>
      <w:r w:rsidR="006D3C46" w:rsidRPr="00043D52">
        <w:rPr>
          <w:rFonts w:ascii="Palatino Linotype" w:hAnsi="Palatino Linotype" w:cs="Times New Roman"/>
        </w:rPr>
        <w:t>CLE</w:t>
      </w:r>
      <w:r w:rsidRPr="00043D52">
        <w:rPr>
          <w:rFonts w:ascii="Palatino Linotype" w:hAnsi="Palatino Linotype" w:cs="Times New Roman"/>
        </w:rPr>
        <w:t xml:space="preserve"> often reports the development of practical legal skills as a significant outcome of a clinical experience, this has not been the focus of the literature in relation to community lawyering clinics.  As might be expected, the focus groups revealed that the extent of the development of legal skills during the projects varied significantly between projects. Some projects such as the </w:t>
      </w:r>
      <w:r w:rsidR="00CB4086" w:rsidRPr="00043D52">
        <w:rPr>
          <w:rFonts w:ascii="Palatino Linotype" w:hAnsi="Palatino Linotype" w:cs="Times New Roman"/>
        </w:rPr>
        <w:t xml:space="preserve">Refugee and </w:t>
      </w:r>
      <w:r w:rsidR="00CB4086" w:rsidRPr="00043D52">
        <w:rPr>
          <w:rFonts w:ascii="Palatino Linotype" w:hAnsi="Palatino Linotype" w:cs="Times New Roman"/>
        </w:rPr>
        <w:lastRenderedPageBreak/>
        <w:t>Immigration Legal Service (</w:t>
      </w:r>
      <w:r w:rsidRPr="00043D52">
        <w:rPr>
          <w:rFonts w:ascii="Palatino Linotype" w:hAnsi="Palatino Linotype" w:cs="Times New Roman"/>
        </w:rPr>
        <w:t>RAILS</w:t>
      </w:r>
      <w:r w:rsidR="00CB4086" w:rsidRPr="00043D52">
        <w:rPr>
          <w:rFonts w:ascii="Palatino Linotype" w:hAnsi="Palatino Linotype" w:cs="Times New Roman"/>
        </w:rPr>
        <w:t>)</w:t>
      </w:r>
      <w:r w:rsidRPr="00043D52">
        <w:rPr>
          <w:rFonts w:ascii="Palatino Linotype" w:hAnsi="Palatino Linotype" w:cs="Times New Roman"/>
        </w:rPr>
        <w:t xml:space="preserve"> project involved students using particular legal skills such as legal research and writing and file analysis; however others involved little direct legal skill development. While students expressed that they did not always learn or extend their legal knowledge or skills directly during their placement, they identified that they developed broader skills around the lawyer/client relationship including effective client communication. In addition, they acknowledged the value of this complementary skill set and having their level of awareness around what comprises effective lawyering broadened: </w:t>
      </w:r>
    </w:p>
    <w:p w14:paraId="69C216BC" w14:textId="48E3040D"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‘We had to get across a certain sort of body of information that was really important because we were trying to get support for our event. And that was like we went from talking to people like [former Australian High Court Judge] Michael Kirby</w:t>
      </w:r>
      <w:r w:rsidR="00F53510" w:rsidRPr="00043D52">
        <w:rPr>
          <w:rFonts w:ascii="Palatino Linotype" w:hAnsi="Palatino Linotype" w:cs="Times New Roman"/>
          <w:i/>
        </w:rPr>
        <w:t xml:space="preserve"> </w:t>
      </w:r>
      <w:r w:rsidRPr="00043D52">
        <w:rPr>
          <w:rFonts w:ascii="Palatino Linotype" w:hAnsi="Palatino Linotype" w:cs="Times New Roman"/>
          <w:i/>
        </w:rPr>
        <w:t>to just people we wanted to come along. Organisations, community really grass roots people. So we needed to be really across the information… And then the other stuff was sort of like event management, just keeping a really like constant professional communication with the organisation. ... To kind of maintain that professional relationship and I felt really good about that actually. Because I thought okay I can do this now, I know, I’m confident that you know all the work that I’ve done and that I’ve sort of made this network.’ (Female)</w:t>
      </w:r>
    </w:p>
    <w:p w14:paraId="55EF13DF" w14:textId="77777777" w:rsidR="00150AB0" w:rsidRDefault="00150AB0" w:rsidP="0042381D">
      <w:pPr>
        <w:spacing w:line="480" w:lineRule="auto"/>
        <w:jc w:val="both"/>
        <w:rPr>
          <w:rFonts w:ascii="Palatino Linotype" w:hAnsi="Palatino Linotype" w:cs="Times New Roman"/>
        </w:rPr>
      </w:pPr>
      <w:r w:rsidRPr="00043D52">
        <w:rPr>
          <w:rFonts w:ascii="Palatino Linotype" w:hAnsi="Palatino Linotype" w:cs="Times New Roman"/>
        </w:rPr>
        <w:t>The research reveals that while the development of practical legal skills might not be as significant in community projects as in live client and other more traditional legal clinics, students do develop transferable skills that will make them more effective lawyers.</w:t>
      </w:r>
    </w:p>
    <w:p w14:paraId="24DFD8AD" w14:textId="77777777" w:rsidR="00552107" w:rsidRPr="00043D52" w:rsidRDefault="00552107" w:rsidP="0042381D">
      <w:pPr>
        <w:spacing w:line="480" w:lineRule="auto"/>
        <w:jc w:val="both"/>
        <w:rPr>
          <w:rFonts w:ascii="Palatino Linotype" w:hAnsi="Palatino Linotype" w:cs="Times New Roman"/>
        </w:rPr>
      </w:pPr>
    </w:p>
    <w:p w14:paraId="4FDA293A" w14:textId="77777777" w:rsidR="00150AB0" w:rsidRPr="001E63FF" w:rsidRDefault="00150AB0" w:rsidP="0042381D">
      <w:pPr>
        <w:spacing w:line="480" w:lineRule="auto"/>
        <w:jc w:val="both"/>
        <w:rPr>
          <w:rFonts w:ascii="Palatino Linotype" w:hAnsi="Palatino Linotype" w:cs="Times New Roman"/>
          <w:b/>
          <w:i/>
        </w:rPr>
      </w:pPr>
      <w:r w:rsidRPr="001E63FF">
        <w:rPr>
          <w:rFonts w:ascii="Palatino Linotype" w:hAnsi="Palatino Linotype" w:cs="Times New Roman"/>
          <w:b/>
          <w:i/>
        </w:rPr>
        <w:lastRenderedPageBreak/>
        <w:t>Was student learning affected by the autonomy of the projects?</w:t>
      </w:r>
    </w:p>
    <w:p w14:paraId="7F6C8064" w14:textId="1A9F260B" w:rsidR="00150AB0" w:rsidRPr="00043D52" w:rsidRDefault="00150AB0" w:rsidP="0042381D">
      <w:pPr>
        <w:spacing w:line="480" w:lineRule="auto"/>
        <w:jc w:val="both"/>
        <w:rPr>
          <w:rFonts w:ascii="Palatino Linotype" w:hAnsi="Palatino Linotype" w:cs="Times New Roman"/>
        </w:rPr>
      </w:pPr>
      <w:r w:rsidRPr="00043D52">
        <w:rPr>
          <w:rFonts w:ascii="Palatino Linotype" w:hAnsi="Palatino Linotype" w:cs="Times New Roman"/>
        </w:rPr>
        <w:t xml:space="preserve">Students had varying reactions to the level of autonomy provided to them in the projects. In most projects, community partners presented students with a social issue or problem to respond to. Generally, partners did not have a set project or approach they required students to follow; it was for the group of students to work together to develop a plan to respond to the issue. It was not expected that the group would “solve” the problem in a single semester. Rather it was hoped that students would make a contribution towards understanding of the problem and progress towards a solution. In some instances projects carry over from groups of students in one semester to another. This autonomy and what might at times be seen by students as a lack of clear direction led to mixed responses from students. For example one student noted; </w:t>
      </w:r>
    </w:p>
    <w:p w14:paraId="40F16FE9" w14:textId="4C92DC7C"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‘I like that you had some autonomy with what you were doing. It had to obviously meet the needs of your community partner or whoever you were with but there was a bit of scope to just run your own project</w:t>
      </w:r>
      <w:r w:rsidR="004E72BB" w:rsidRPr="00043D52">
        <w:rPr>
          <w:rFonts w:ascii="Palatino Linotype" w:hAnsi="Palatino Linotype" w:cs="Times New Roman"/>
          <w:i/>
        </w:rPr>
        <w:t>.</w:t>
      </w:r>
      <w:r w:rsidRPr="00043D52">
        <w:rPr>
          <w:rFonts w:ascii="Palatino Linotype" w:hAnsi="Palatino Linotype" w:cs="Times New Roman"/>
          <w:i/>
        </w:rPr>
        <w:t>’</w:t>
      </w:r>
      <w:r w:rsidR="004E72BB" w:rsidRPr="00043D52">
        <w:rPr>
          <w:rFonts w:ascii="Palatino Linotype" w:hAnsi="Palatino Linotype" w:cs="Times New Roman"/>
          <w:i/>
        </w:rPr>
        <w:t xml:space="preserve"> </w:t>
      </w:r>
      <w:r w:rsidR="00CB4086" w:rsidRPr="00043D52">
        <w:rPr>
          <w:rFonts w:ascii="Palatino Linotype" w:hAnsi="Palatino Linotype" w:cs="Times New Roman"/>
          <w:i/>
        </w:rPr>
        <w:t>(</w:t>
      </w:r>
      <w:r w:rsidR="004E72BB" w:rsidRPr="00043D52">
        <w:rPr>
          <w:rFonts w:ascii="Palatino Linotype" w:hAnsi="Palatino Linotype" w:cs="Times New Roman"/>
          <w:i/>
        </w:rPr>
        <w:t>Unidentified respondent)</w:t>
      </w:r>
      <w:r w:rsidRPr="00043D52">
        <w:rPr>
          <w:rFonts w:ascii="Palatino Linotype" w:hAnsi="Palatino Linotype" w:cs="Times New Roman"/>
          <w:i/>
        </w:rPr>
        <w:t xml:space="preserve">  </w:t>
      </w:r>
    </w:p>
    <w:p w14:paraId="095F1F81" w14:textId="7CC4B0B9"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Other students commented on the fact that the projects they ended up completing often differed to those initially detailed to them or to what they had expected to be doing.  A few students noted this change as a frustration while others saw it as part of the learning experience.</w:t>
      </w:r>
    </w:p>
    <w:p w14:paraId="21485F59" w14:textId="20BC9A33"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 xml:space="preserve">‘But basically when we met with the community partners again it was like well what do you want to do? They were asking us you know like this is the issue and so we’re like oh, okay. It was so, but I mean that’s a good experience in itself I suppose that </w:t>
      </w:r>
      <w:r w:rsidRPr="00043D52">
        <w:rPr>
          <w:rFonts w:ascii="Palatino Linotype" w:hAnsi="Palatino Linotype" w:cs="Times New Roman"/>
          <w:i/>
        </w:rPr>
        <w:lastRenderedPageBreak/>
        <w:t>kind of autonomy and they definitely supported us. But we had to come up with the ideas and deliver yeah.’(Female)</w:t>
      </w:r>
    </w:p>
    <w:p w14:paraId="707E97BF" w14:textId="7E746D11"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While the autonomy was an important aspect of the overall design of the projects leading to transformational experiences for many students, a clear learning early on for subject coordinators was that students need clear support during the project scoping phase and it may take time for the value of the learning experience in the project to be clear to them. </w:t>
      </w:r>
    </w:p>
    <w:p w14:paraId="13676092" w14:textId="77777777"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There was substantial support within the sample for undertaking pro bono work as legal professionals. While some students simply identified that the subject reinforced their existing, positive beliefs about completing pro bono work, others articulated that their level of awareness about pro bono work was enhanced as a result of their involvement in the subject.</w:t>
      </w:r>
    </w:p>
    <w:p w14:paraId="7FF07CFA" w14:textId="77777777"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While discussion around pro bono work was somewhat more explicit and dominant during the discussions than that pertaining to social justice, there was some evidence that participation in the subject expanded student’s knowledge of the challenges some people may face in society, their understanding of social justice, and the important role of social justice within the legal profession.  Again, a significant proportion of students agreed that they would endeavour to perform social justice oriented work in the future.</w:t>
      </w:r>
    </w:p>
    <w:p w14:paraId="47F78F03" w14:textId="77777777"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 xml:space="preserve">‘‘Yeah I do think I was very naive in terms of a lot of the issues like the social justice. Like it’s kind of sad if I only realise that in my final year.’ (Female) </w:t>
      </w:r>
    </w:p>
    <w:p w14:paraId="7F363A3B" w14:textId="76CB406F"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lastRenderedPageBreak/>
        <w:t xml:space="preserve">Students reported that there understanding of social justice had deepened as a result of undertaking the subject.  </w:t>
      </w:r>
    </w:p>
    <w:p w14:paraId="5E64E8F6" w14:textId="6E73DDBB"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‘I suppose I kind of just thought that if I had to really define social justice it’s sort of just one of those floaty concepts and it was interesting to kind of think about it in a different way and it’s not just you know what you sometimes think of you know access to courts and you know fair trial. ... It’s kind of a way of thinking and a way of living as well. It’s sort of just I suppose cemented my values, it made me kind of think about them and articulate them. It’s also about the way they interact with everyone and it’s about sort of thinking about our institutions and how they affect different people and stuff like that. ....’ (Female)</w:t>
      </w:r>
    </w:p>
    <w:p w14:paraId="604A0533" w14:textId="6E0E2F10"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While it is not possible to draw definitive conclusions in relation to social justice awareness-raising, the research suggests that undertaking community projects does contribute to increasing such awareness.  However it should be noted there may be a bias in students selecting the subject having a prior interest in social justice issues and the causal connection is not clear.  It is also not clear whether students’ initial positive reaction to social justice issues and commitment to future community service will result in changed behaviour in their future professional lives. </w:t>
      </w:r>
    </w:p>
    <w:p w14:paraId="12B65B95" w14:textId="77777777" w:rsidR="00150AB0" w:rsidRPr="001E63FF" w:rsidRDefault="00150AB0" w:rsidP="0091111C">
      <w:pPr>
        <w:spacing w:line="480" w:lineRule="auto"/>
        <w:jc w:val="both"/>
        <w:rPr>
          <w:rFonts w:ascii="Palatino Linotype" w:hAnsi="Palatino Linotype" w:cs="Times New Roman"/>
          <w:b/>
          <w:i/>
        </w:rPr>
      </w:pPr>
      <w:r w:rsidRPr="001E63FF">
        <w:rPr>
          <w:rFonts w:ascii="Palatino Linotype" w:hAnsi="Palatino Linotype" w:cs="Times New Roman"/>
          <w:b/>
          <w:i/>
        </w:rPr>
        <w:t>Did students have any personally transformational experiences?</w:t>
      </w:r>
    </w:p>
    <w:p w14:paraId="78E425BD" w14:textId="77777777"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 xml:space="preserve">In addition to learning outcomes in relation to lawyering and generic skills and the development of a pro bono and social justice orientation, over half of the sample identified that their involvement in the subject had resulted in a substantial ‘transformation’ for them, personally. The subject had provided individuals with </w:t>
      </w:r>
      <w:r w:rsidRPr="00043D52">
        <w:rPr>
          <w:rFonts w:ascii="Palatino Linotype" w:hAnsi="Palatino Linotype" w:cs="Times New Roman"/>
        </w:rPr>
        <w:lastRenderedPageBreak/>
        <w:t xml:space="preserve">substantial career direction.  For some students the career transformation related to individuals identifying an area of law that they felt passionate about or were unaware of previously. </w:t>
      </w:r>
    </w:p>
    <w:p w14:paraId="6388AFDB" w14:textId="77777777"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‘I’m interested in a few areas like commercial law and also family. But I’m currently also volunteering at a family law firm and they’re a non-profit law firm. So that combined with doing legal clinic kind of just changed what I could do in my legal career. Like before then I just had what everybody else would be trying to do which is you know get into a big firm and get into commercial and that sort of thing. But both of them the volunteer experiences really opened up my eyes how I could really serve the community with law. Like I never knew it was possible so….’ (Female)</w:t>
      </w:r>
    </w:p>
    <w:p w14:paraId="0DCF497E" w14:textId="77777777"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In addition to helping students to identify a preferred area of law they wish to pursue in the future, for other individuals the subject played an important role in reassuring them that they would be able to find a ‘home’ or  ‘fit’ within the legal profession.</w:t>
      </w:r>
    </w:p>
    <w:p w14:paraId="64430D96" w14:textId="77777777"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 xml:space="preserve">‘I suppose I was a little bit lost because I thought although I kind of enjoyed a few of the intellectual aspects of law I thought that I was a bit of too much of a softy. ... and I thought apart from the advocacy I’m very out of place. And I hadn’t really made any friends or anything like that and  I thought I’m sort of was at the point where do I change and do something else or do I stay here?  And I thought I’d finish the degree but I wasn’t confident that I would find something I’d be able to give to the …like offer the legal community. ... But there’s so much of like of variety in the legal profession and I think that was really good to know….And also the people that I was working with in the charity they were people who’d finished law and thought you know what? I don’t want to practise, I want to do something else. And so they’ve </w:t>
      </w:r>
      <w:r w:rsidRPr="00043D52">
        <w:rPr>
          <w:rFonts w:ascii="Palatino Linotype" w:hAnsi="Palatino Linotype" w:cs="Times New Roman"/>
          <w:i/>
        </w:rPr>
        <w:lastRenderedPageBreak/>
        <w:t>carved out their little niche and they wrote submissions to the Australian Human Rights Commission and all those sorts of things on policy changes ... (Female).</w:t>
      </w:r>
    </w:p>
    <w:p w14:paraId="7B6D10C6" w14:textId="72D45242" w:rsidR="00150AB0" w:rsidRPr="00043D52" w:rsidRDefault="00150AB0" w:rsidP="0091111C">
      <w:pPr>
        <w:spacing w:line="480" w:lineRule="auto"/>
        <w:jc w:val="both"/>
        <w:rPr>
          <w:rFonts w:ascii="Palatino Linotype" w:hAnsi="Palatino Linotype" w:cs="Times New Roman"/>
        </w:rPr>
      </w:pPr>
      <w:r w:rsidRPr="00043D52">
        <w:rPr>
          <w:rFonts w:ascii="Palatino Linotype" w:hAnsi="Palatino Linotype" w:cs="Times New Roman"/>
        </w:rPr>
        <w:t>Indeed it seems one of the most transformative effects of the community project work on students related to their sense of belonging as future lawyers and the opening of career options in the legal profession. Student comments in the focus groups about the impact of undertaking the subject on their sense of professional belonging is also consistent with reports in their reflective assessment and other feedback provided to the teaching staff.  One student commented in the focus groups:</w:t>
      </w:r>
    </w:p>
    <w:p w14:paraId="2229819B" w14:textId="77777777" w:rsidR="00150AB0" w:rsidRPr="00043D52" w:rsidRDefault="00150AB0" w:rsidP="00013A36">
      <w:pPr>
        <w:spacing w:line="360" w:lineRule="auto"/>
        <w:ind w:left="720"/>
        <w:jc w:val="both"/>
        <w:rPr>
          <w:rFonts w:ascii="Palatino Linotype" w:hAnsi="Palatino Linotype" w:cs="Times New Roman"/>
          <w:i/>
        </w:rPr>
      </w:pPr>
      <w:r w:rsidRPr="00043D52">
        <w:rPr>
          <w:rFonts w:ascii="Palatino Linotype" w:hAnsi="Palatino Linotype" w:cs="Times New Roman"/>
          <w:i/>
        </w:rPr>
        <w:t xml:space="preserve">‘I think until this year I was really starting to worry like approaching my last year, worry about how I would use my law degree. What I was just going to do after graduating because I felt like the culture at </w:t>
      </w:r>
      <w:proofErr w:type="spellStart"/>
      <w:r w:rsidRPr="00043D52">
        <w:rPr>
          <w:rFonts w:ascii="Palatino Linotype" w:hAnsi="Palatino Linotype" w:cs="Times New Roman"/>
          <w:i/>
        </w:rPr>
        <w:t>uni</w:t>
      </w:r>
      <w:proofErr w:type="spellEnd"/>
      <w:r w:rsidRPr="00043D52">
        <w:rPr>
          <w:rFonts w:ascii="Palatino Linotype" w:hAnsi="Palatino Linotype" w:cs="Times New Roman"/>
          <w:i/>
        </w:rPr>
        <w:t xml:space="preserve"> you see ... like law students in general and the legal profession you get this I don't know sort of perception that it’s really aggressive. .... So I thought oh no I have to become this different person to practice as a lawyer and it was scary and depressing sort of. And yeah this unit just really changed that. I think they really give you an opportunity that you can be a real person and you can relate to people as a person. And it’s not a weakness to be a person it’s, I don't know an advantage because you’re really connecting with someone. And you can use your legal skills and help someone holistically yeah.’ (Female).</w:t>
      </w:r>
    </w:p>
    <w:p w14:paraId="2D5DCC96" w14:textId="5664A76F" w:rsidR="00150AB0" w:rsidRPr="00043D52" w:rsidRDefault="00150AB0" w:rsidP="00375E34">
      <w:pPr>
        <w:spacing w:line="480" w:lineRule="auto"/>
        <w:jc w:val="both"/>
        <w:rPr>
          <w:rFonts w:ascii="Palatino Linotype" w:hAnsi="Palatino Linotype" w:cs="Times New Roman"/>
          <w:b/>
        </w:rPr>
      </w:pPr>
      <w:r w:rsidRPr="00043D52">
        <w:rPr>
          <w:rFonts w:ascii="Palatino Linotype" w:hAnsi="Palatino Linotype" w:cs="Times New Roman"/>
        </w:rPr>
        <w:t xml:space="preserve">The reported developing sense of professional identity is also consistent with the literature in relation to community lawyering clinics. However, this research suggests the development of professional identity goes beyond what has been previously reported, which tends to focus on inculcating values of pro bono service and social justice. Given students the subject of this research often reported being </w:t>
      </w:r>
      <w:r w:rsidRPr="00043D52">
        <w:rPr>
          <w:rFonts w:ascii="Palatino Linotype" w:hAnsi="Palatino Linotype" w:cs="Times New Roman"/>
        </w:rPr>
        <w:lastRenderedPageBreak/>
        <w:t xml:space="preserve">pre-disposed towards a social justice orientation, the impact of undertaking community projects on students who were becoming disillusioned with the law towards the end of their degrees in finding a fit within the profession is arguably more profound. </w:t>
      </w:r>
    </w:p>
    <w:p w14:paraId="027E4F97" w14:textId="77777777" w:rsidR="00150AB0" w:rsidRPr="00043D52" w:rsidRDefault="00150AB0" w:rsidP="0091111C">
      <w:pPr>
        <w:spacing w:line="480" w:lineRule="auto"/>
        <w:jc w:val="both"/>
        <w:rPr>
          <w:rFonts w:ascii="Palatino Linotype" w:hAnsi="Palatino Linotype" w:cs="Times New Roman"/>
          <w:b/>
        </w:rPr>
      </w:pPr>
      <w:r w:rsidRPr="00043D52">
        <w:rPr>
          <w:rFonts w:ascii="Palatino Linotype" w:hAnsi="Palatino Linotype" w:cs="Times New Roman"/>
          <w:b/>
        </w:rPr>
        <w:t>Conclusion</w:t>
      </w:r>
    </w:p>
    <w:p w14:paraId="42C01711" w14:textId="061B9D40" w:rsidR="00150AB0" w:rsidRPr="00043D52" w:rsidRDefault="00150AB0" w:rsidP="00403A81">
      <w:pPr>
        <w:spacing w:line="480" w:lineRule="auto"/>
        <w:jc w:val="both"/>
        <w:rPr>
          <w:rFonts w:ascii="Palatino Linotype" w:hAnsi="Palatino Linotype" w:cs="Times New Roman"/>
        </w:rPr>
      </w:pPr>
      <w:r w:rsidRPr="00043D52">
        <w:rPr>
          <w:rFonts w:ascii="Palatino Linotype" w:hAnsi="Palatino Linotype" w:cs="Times New Roman"/>
        </w:rPr>
        <w:t xml:space="preserve">The case study provides evidence that law students who undertake service-learning while engaging in community projects develop a range of transferable skills that will enable them to be more effective lawyers.  In particular, client skills in relation to communication and cross cultural competency can be developed.  Accordingly, the overall design of any service-learning experience for law students should include a focus on client skills (interviewing, dispute resolution and cultural and emotional intelligence). Further, subject design should assist students to see the connection between the project, the development of these skills and their future careers.  If these skills are not taught during the experience, students may miss the unique opportunity to reflect deeply on issues such as their ability to deal with diversity and to develop empathy while exercising an appropriate degree of professional detachment. </w:t>
      </w:r>
    </w:p>
    <w:p w14:paraId="5E41BE65" w14:textId="77777777" w:rsidR="00150AB0" w:rsidRPr="00043D52" w:rsidRDefault="00150AB0" w:rsidP="00403A81">
      <w:pPr>
        <w:spacing w:line="480" w:lineRule="auto"/>
        <w:jc w:val="both"/>
        <w:rPr>
          <w:rFonts w:ascii="Palatino Linotype" w:hAnsi="Palatino Linotype" w:cs="Times New Roman"/>
        </w:rPr>
      </w:pPr>
      <w:r w:rsidRPr="00043D52">
        <w:rPr>
          <w:rFonts w:ascii="Palatino Linotype" w:hAnsi="Palatino Linotype" w:cs="Times New Roman"/>
        </w:rPr>
        <w:t xml:space="preserve">In addition to an emphasis on client lawyering skills, the overall subject design needs to address the high levels of support required during the initial scoping phase of the project. This is particularly so where there is a high degree of autonomy in the </w:t>
      </w:r>
      <w:r w:rsidRPr="00043D52">
        <w:rPr>
          <w:rFonts w:ascii="Palatino Linotype" w:hAnsi="Palatino Linotype" w:cs="Times New Roman"/>
        </w:rPr>
        <w:lastRenderedPageBreak/>
        <w:t xml:space="preserve">development of the project, as students may undergo a period of disorientation which in itself is a valuable learning experience.  </w:t>
      </w:r>
    </w:p>
    <w:p w14:paraId="1B3203A8" w14:textId="310A905D" w:rsidR="00403A81" w:rsidRPr="00043D52" w:rsidRDefault="00150AB0" w:rsidP="00403A81">
      <w:pPr>
        <w:spacing w:line="480" w:lineRule="auto"/>
        <w:jc w:val="both"/>
        <w:rPr>
          <w:rFonts w:ascii="Palatino Linotype" w:hAnsi="Palatino Linotype" w:cs="Times New Roman"/>
          <w:i/>
        </w:rPr>
      </w:pPr>
      <w:r w:rsidRPr="00043D52">
        <w:rPr>
          <w:rFonts w:ascii="Palatino Linotype" w:hAnsi="Palatino Linotype" w:cs="Times New Roman"/>
        </w:rPr>
        <w:t xml:space="preserve">In addition to the development of effective client skills, students undertaking service-learning reported significant personal transformation leading to the development of a positive legal professional identity. This transformation related both to their understanding of social justice and values of community and pro bono service and, arguably more importantly, to their own commitment and sense of belonging to the legal profession.  This paper argues that given the current emphasis in legal education on the development of professional </w:t>
      </w:r>
      <w:r w:rsidR="00AA2744" w:rsidRPr="00043D52">
        <w:rPr>
          <w:rFonts w:ascii="Palatino Linotype" w:hAnsi="Palatino Linotype" w:cs="Times New Roman"/>
        </w:rPr>
        <w:t xml:space="preserve">service-learning </w:t>
      </w:r>
      <w:r w:rsidR="00EE0872" w:rsidRPr="00043D52">
        <w:rPr>
          <w:rFonts w:ascii="Palatino Linotype" w:hAnsi="Palatino Linotype" w:cs="Times New Roman"/>
        </w:rPr>
        <w:t>should be considered as</w:t>
      </w:r>
      <w:r w:rsidR="00AA2744" w:rsidRPr="00043D52">
        <w:rPr>
          <w:rFonts w:ascii="Palatino Linotype" w:hAnsi="Palatino Linotype" w:cs="Times New Roman"/>
        </w:rPr>
        <w:t xml:space="preserve"> an ideal means of achieving this goal.</w:t>
      </w:r>
      <w:r w:rsidR="00403A81" w:rsidRPr="00043D52">
        <w:rPr>
          <w:rFonts w:ascii="Palatino Linotype" w:hAnsi="Palatino Linotype" w:cs="Times New Roman"/>
          <w:i/>
        </w:rPr>
        <w:t xml:space="preserve"> </w:t>
      </w:r>
    </w:p>
    <w:p w14:paraId="2B99B644" w14:textId="139B287F" w:rsidR="00B26147" w:rsidRPr="00043D52" w:rsidRDefault="000B62F1" w:rsidP="00B772F5">
      <w:pPr>
        <w:spacing w:line="480" w:lineRule="auto"/>
        <w:jc w:val="both"/>
        <w:rPr>
          <w:rFonts w:ascii="Palatino Linotype" w:hAnsi="Palatino Linotype" w:cs="Times New Roman"/>
        </w:rPr>
      </w:pPr>
      <w:r w:rsidRPr="00043D52">
        <w:rPr>
          <w:rFonts w:ascii="Palatino Linotype" w:hAnsi="Palatino Linotype" w:cs="Times New Roman"/>
        </w:rPr>
        <w:t>While further research is needed</w:t>
      </w:r>
      <w:r w:rsidR="00BA4294" w:rsidRPr="00043D52">
        <w:rPr>
          <w:rFonts w:ascii="Palatino Linotype" w:hAnsi="Palatino Linotype" w:cs="Times New Roman"/>
        </w:rPr>
        <w:t>,</w:t>
      </w:r>
      <w:r w:rsidR="005619FD" w:rsidRPr="00043D52">
        <w:rPr>
          <w:rFonts w:ascii="Palatino Linotype" w:hAnsi="Palatino Linotype" w:cs="Times New Roman"/>
        </w:rPr>
        <w:t xml:space="preserve"> </w:t>
      </w:r>
      <w:r w:rsidRPr="00043D52">
        <w:rPr>
          <w:rFonts w:ascii="Palatino Linotype" w:hAnsi="Palatino Linotype" w:cs="Times New Roman"/>
        </w:rPr>
        <w:t xml:space="preserve">the initial </w:t>
      </w:r>
      <w:r w:rsidR="006819B1" w:rsidRPr="00043D52">
        <w:rPr>
          <w:rFonts w:ascii="Palatino Linotype" w:hAnsi="Palatino Linotype" w:cs="Times New Roman"/>
        </w:rPr>
        <w:t>evaluation</w:t>
      </w:r>
      <w:r w:rsidRPr="00043D52">
        <w:rPr>
          <w:rFonts w:ascii="Palatino Linotype" w:hAnsi="Palatino Linotype" w:cs="Times New Roman"/>
        </w:rPr>
        <w:t xml:space="preserve"> </w:t>
      </w:r>
      <w:r w:rsidR="00924105" w:rsidRPr="00043D52">
        <w:rPr>
          <w:rFonts w:ascii="Palatino Linotype" w:hAnsi="Palatino Linotype" w:cs="Times New Roman"/>
        </w:rPr>
        <w:t xml:space="preserve">of the community projects in the Legal Clinic unit </w:t>
      </w:r>
      <w:r w:rsidRPr="00043D52">
        <w:rPr>
          <w:rFonts w:ascii="Palatino Linotype" w:hAnsi="Palatino Linotype" w:cs="Times New Roman"/>
        </w:rPr>
        <w:t>suggest</w:t>
      </w:r>
      <w:r w:rsidR="00924105" w:rsidRPr="00043D52">
        <w:rPr>
          <w:rFonts w:ascii="Palatino Linotype" w:hAnsi="Palatino Linotype" w:cs="Times New Roman"/>
        </w:rPr>
        <w:t>s</w:t>
      </w:r>
      <w:r w:rsidRPr="00043D52">
        <w:rPr>
          <w:rFonts w:ascii="Palatino Linotype" w:hAnsi="Palatino Linotype" w:cs="Times New Roman"/>
        </w:rPr>
        <w:t xml:space="preserve"> that </w:t>
      </w:r>
      <w:r w:rsidR="005619FD" w:rsidRPr="00043D52">
        <w:rPr>
          <w:rFonts w:ascii="Palatino Linotype" w:hAnsi="Palatino Linotype" w:cs="Times New Roman"/>
        </w:rPr>
        <w:t xml:space="preserve">community </w:t>
      </w:r>
      <w:r w:rsidR="00EE0872" w:rsidRPr="00043D52">
        <w:rPr>
          <w:rFonts w:ascii="Palatino Linotype" w:hAnsi="Palatino Linotype" w:cs="Times New Roman"/>
        </w:rPr>
        <w:t xml:space="preserve">project legal </w:t>
      </w:r>
      <w:r w:rsidR="005619FD" w:rsidRPr="00043D52">
        <w:rPr>
          <w:rFonts w:ascii="Palatino Linotype" w:hAnsi="Palatino Linotype" w:cs="Times New Roman"/>
        </w:rPr>
        <w:t xml:space="preserve">clinics </w:t>
      </w:r>
      <w:r w:rsidR="00EE0872" w:rsidRPr="00043D52">
        <w:rPr>
          <w:rFonts w:ascii="Palatino Linotype" w:hAnsi="Palatino Linotype" w:cs="Times New Roman"/>
        </w:rPr>
        <w:t xml:space="preserve">have a similar </w:t>
      </w:r>
      <w:r w:rsidRPr="00043D52">
        <w:rPr>
          <w:rFonts w:ascii="Palatino Linotype" w:hAnsi="Palatino Linotype" w:cs="Times New Roman"/>
        </w:rPr>
        <w:t xml:space="preserve">positive impact on student learning </w:t>
      </w:r>
      <w:r w:rsidR="00CB143E" w:rsidRPr="00043D52">
        <w:rPr>
          <w:rFonts w:ascii="Palatino Linotype" w:hAnsi="Palatino Linotype" w:cs="Times New Roman"/>
        </w:rPr>
        <w:t>in relation to</w:t>
      </w:r>
      <w:r w:rsidRPr="00043D52">
        <w:rPr>
          <w:rFonts w:ascii="Palatino Linotype" w:hAnsi="Palatino Linotype" w:cs="Times New Roman"/>
        </w:rPr>
        <w:t xml:space="preserve"> </w:t>
      </w:r>
      <w:r w:rsidR="00CB143E" w:rsidRPr="00043D52">
        <w:rPr>
          <w:rFonts w:ascii="Palatino Linotype" w:hAnsi="Palatino Linotype" w:cs="Times New Roman"/>
        </w:rPr>
        <w:t xml:space="preserve">the development </w:t>
      </w:r>
      <w:r w:rsidR="00924105" w:rsidRPr="00043D52">
        <w:rPr>
          <w:rFonts w:ascii="Palatino Linotype" w:hAnsi="Palatino Linotype" w:cs="Times New Roman"/>
        </w:rPr>
        <w:t xml:space="preserve">of </w:t>
      </w:r>
      <w:r w:rsidR="00CB143E" w:rsidRPr="00043D52">
        <w:rPr>
          <w:rFonts w:ascii="Palatino Linotype" w:hAnsi="Palatino Linotype" w:cs="Times New Roman"/>
        </w:rPr>
        <w:t>technical skills, broader skills around the lawyer/client relationship and raising awareness of pro bono work and helping individuals to access legal services</w:t>
      </w:r>
      <w:r w:rsidR="00EE0872" w:rsidRPr="00043D52">
        <w:rPr>
          <w:rFonts w:ascii="Palatino Linotype" w:hAnsi="Palatino Linotype" w:cs="Times New Roman"/>
        </w:rPr>
        <w:t xml:space="preserve"> as has been reported in other community lawyering clinics</w:t>
      </w:r>
      <w:r w:rsidR="00CB143E" w:rsidRPr="00043D52">
        <w:rPr>
          <w:rFonts w:ascii="Palatino Linotype" w:hAnsi="Palatino Linotype" w:cs="Times New Roman"/>
        </w:rPr>
        <w:t>.  Further</w:t>
      </w:r>
      <w:r w:rsidR="00924105" w:rsidRPr="00043D52">
        <w:rPr>
          <w:rFonts w:ascii="Palatino Linotype" w:hAnsi="Palatino Linotype" w:cs="Times New Roman"/>
        </w:rPr>
        <w:t>,</w:t>
      </w:r>
      <w:r w:rsidR="00CB143E" w:rsidRPr="00043D52">
        <w:rPr>
          <w:rFonts w:ascii="Palatino Linotype" w:hAnsi="Palatino Linotype" w:cs="Times New Roman"/>
        </w:rPr>
        <w:t xml:space="preserve"> </w:t>
      </w:r>
      <w:r w:rsidR="005619FD" w:rsidRPr="00043D52">
        <w:rPr>
          <w:rFonts w:ascii="Palatino Linotype" w:hAnsi="Palatino Linotype" w:cs="Times New Roman"/>
        </w:rPr>
        <w:t>they</w:t>
      </w:r>
      <w:r w:rsidR="00CB143E" w:rsidRPr="00043D52">
        <w:rPr>
          <w:rFonts w:ascii="Palatino Linotype" w:hAnsi="Palatino Linotype" w:cs="Times New Roman"/>
        </w:rPr>
        <w:t xml:space="preserve"> can have a transformational impact on career direction and the development of students’ professional identity. </w:t>
      </w:r>
      <w:r w:rsidR="005619FD" w:rsidRPr="00043D52">
        <w:rPr>
          <w:rFonts w:ascii="Palatino Linotype" w:hAnsi="Palatino Linotype" w:cs="Times New Roman"/>
        </w:rPr>
        <w:t>It is suggested that a longitudinal study of the impact of community lawyering clinics on values</w:t>
      </w:r>
      <w:r w:rsidR="000A6F15" w:rsidRPr="00043D52">
        <w:rPr>
          <w:rFonts w:ascii="Palatino Linotype" w:hAnsi="Palatino Linotype" w:cs="Times New Roman"/>
        </w:rPr>
        <w:t>,</w:t>
      </w:r>
      <w:r w:rsidR="005619FD" w:rsidRPr="00043D52">
        <w:rPr>
          <w:rFonts w:ascii="Palatino Linotype" w:hAnsi="Palatino Linotype" w:cs="Times New Roman"/>
        </w:rPr>
        <w:t xml:space="preserve"> and future action in relation to the provision of pro bono and community service</w:t>
      </w:r>
      <w:r w:rsidR="000A6F15" w:rsidRPr="00043D52">
        <w:rPr>
          <w:rFonts w:ascii="Palatino Linotype" w:hAnsi="Palatino Linotype" w:cs="Times New Roman"/>
        </w:rPr>
        <w:t>,</w:t>
      </w:r>
      <w:r w:rsidR="005619FD" w:rsidRPr="00043D52">
        <w:rPr>
          <w:rFonts w:ascii="Palatino Linotype" w:hAnsi="Palatino Linotype" w:cs="Times New Roman"/>
        </w:rPr>
        <w:t xml:space="preserve"> would further contribute to an understanding </w:t>
      </w:r>
      <w:r w:rsidR="000A6F15" w:rsidRPr="00043D52">
        <w:rPr>
          <w:rFonts w:ascii="Palatino Linotype" w:hAnsi="Palatino Linotype" w:cs="Times New Roman"/>
        </w:rPr>
        <w:t xml:space="preserve">of </w:t>
      </w:r>
      <w:r w:rsidR="005619FD" w:rsidRPr="00043D52">
        <w:rPr>
          <w:rFonts w:ascii="Palatino Linotype" w:hAnsi="Palatino Linotype" w:cs="Times New Roman"/>
        </w:rPr>
        <w:t xml:space="preserve">the extent to which a </w:t>
      </w:r>
      <w:r w:rsidR="005619FD" w:rsidRPr="00043D52">
        <w:rPr>
          <w:rFonts w:ascii="Palatino Linotype" w:hAnsi="Palatino Linotype" w:cs="Times New Roman"/>
          <w:i/>
        </w:rPr>
        <w:t xml:space="preserve">pro bono </w:t>
      </w:r>
      <w:r w:rsidR="005619FD" w:rsidRPr="00043D52">
        <w:rPr>
          <w:rFonts w:ascii="Palatino Linotype" w:hAnsi="Palatino Linotype" w:cs="Times New Roman"/>
        </w:rPr>
        <w:t>and social just</w:t>
      </w:r>
      <w:r w:rsidR="000A6F15" w:rsidRPr="00043D52">
        <w:rPr>
          <w:rFonts w:ascii="Palatino Linotype" w:hAnsi="Palatino Linotype" w:cs="Times New Roman"/>
        </w:rPr>
        <w:t xml:space="preserve">ice ethos can be inculcated in students. </w:t>
      </w:r>
    </w:p>
    <w:sectPr w:rsidR="00B26147" w:rsidRPr="00043D52" w:rsidSect="0042381D">
      <w:headerReference w:type="default" r:id="rId10"/>
      <w:footerReference w:type="default" r:id="rId11"/>
      <w:pgSz w:w="11906" w:h="16838"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309D8" w15:done="0"/>
  <w15:commentEx w15:paraId="75BD7C68" w15:done="0"/>
  <w15:commentEx w15:paraId="2C53388A" w15:done="0"/>
  <w15:commentEx w15:paraId="015A92ED" w15:done="0"/>
  <w15:commentEx w15:paraId="0AC34C5E" w15:done="0"/>
  <w15:commentEx w15:paraId="01556375" w15:done="0"/>
  <w15:commentEx w15:paraId="43D52C0D" w15:done="0"/>
  <w15:commentEx w15:paraId="6407B4D1" w15:done="0"/>
  <w15:commentEx w15:paraId="16B0AB91" w15:done="0"/>
  <w15:commentEx w15:paraId="12B293E6" w15:done="0"/>
  <w15:commentEx w15:paraId="67E09733" w15:done="0"/>
  <w15:commentEx w15:paraId="2E1565A8" w15:done="0"/>
  <w15:commentEx w15:paraId="05E9A79D" w15:done="0"/>
  <w15:commentEx w15:paraId="6C49B207" w15:done="0"/>
  <w15:commentEx w15:paraId="6FCFF3BF" w15:done="0"/>
  <w15:commentEx w15:paraId="6F8E38AD" w15:done="0"/>
  <w15:commentEx w15:paraId="0B2F60FF" w15:done="0"/>
  <w15:commentEx w15:paraId="17C6CBB1" w15:done="0"/>
  <w15:commentEx w15:paraId="2F4CF23C" w15:done="0"/>
  <w15:commentEx w15:paraId="40810EF5" w15:done="0"/>
  <w15:commentEx w15:paraId="4F3C0053" w15:done="0"/>
  <w15:commentEx w15:paraId="322795AF" w15:done="0"/>
  <w15:commentEx w15:paraId="33A63BC2" w15:done="0"/>
  <w15:commentEx w15:paraId="17FF8CD7" w15:done="0"/>
  <w15:commentEx w15:paraId="0B4F4B82" w15:done="0"/>
  <w15:commentEx w15:paraId="7C107F62" w15:done="0"/>
  <w15:commentEx w15:paraId="1FF3C58B" w15:done="0"/>
  <w15:commentEx w15:paraId="65EE318C" w15:done="0"/>
  <w15:commentEx w15:paraId="7DEFAFB5" w15:done="0"/>
  <w15:commentEx w15:paraId="6F34A983" w15:done="0"/>
  <w15:commentEx w15:paraId="6B06647E" w15:done="0"/>
  <w15:commentEx w15:paraId="5258030C" w15:done="0"/>
  <w15:commentEx w15:paraId="1579B1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00C43" w14:textId="77777777" w:rsidR="00487C26" w:rsidRDefault="00487C26" w:rsidP="00813565">
      <w:pPr>
        <w:spacing w:after="0" w:line="240" w:lineRule="auto"/>
      </w:pPr>
      <w:r>
        <w:separator/>
      </w:r>
    </w:p>
  </w:endnote>
  <w:endnote w:type="continuationSeparator" w:id="0">
    <w:p w14:paraId="4B63E8FF" w14:textId="77777777" w:rsidR="00487C26" w:rsidRDefault="00487C26" w:rsidP="0081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119"/>
      <w:docPartObj>
        <w:docPartGallery w:val="Page Numbers (Bottom of Page)"/>
        <w:docPartUnique/>
      </w:docPartObj>
    </w:sdtPr>
    <w:sdtEndPr/>
    <w:sdtContent>
      <w:p w14:paraId="5BE02BEC" w14:textId="77777777" w:rsidR="00107F8C" w:rsidRDefault="00107F8C">
        <w:pPr>
          <w:pStyle w:val="Footer"/>
          <w:jc w:val="right"/>
        </w:pPr>
        <w:r>
          <w:fldChar w:fldCharType="begin"/>
        </w:r>
        <w:r>
          <w:instrText xml:space="preserve"> PAGE   \* MERGEFORMAT </w:instrText>
        </w:r>
        <w:r>
          <w:fldChar w:fldCharType="separate"/>
        </w:r>
        <w:r w:rsidR="008E1571">
          <w:rPr>
            <w:noProof/>
          </w:rPr>
          <w:t>1</w:t>
        </w:r>
        <w:r>
          <w:rPr>
            <w:noProof/>
          </w:rPr>
          <w:fldChar w:fldCharType="end"/>
        </w:r>
      </w:p>
    </w:sdtContent>
  </w:sdt>
  <w:p w14:paraId="4201EB41" w14:textId="77777777" w:rsidR="00107F8C" w:rsidRDefault="0010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8F4C" w14:textId="77777777" w:rsidR="00487C26" w:rsidRDefault="00487C26" w:rsidP="00813565">
      <w:pPr>
        <w:spacing w:after="0" w:line="240" w:lineRule="auto"/>
      </w:pPr>
      <w:r>
        <w:separator/>
      </w:r>
    </w:p>
  </w:footnote>
  <w:footnote w:type="continuationSeparator" w:id="0">
    <w:p w14:paraId="71A5CB0B" w14:textId="77777777" w:rsidR="00487C26" w:rsidRDefault="00487C26" w:rsidP="00813565">
      <w:pPr>
        <w:spacing w:after="0" w:line="240" w:lineRule="auto"/>
      </w:pPr>
      <w:r>
        <w:continuationSeparator/>
      </w:r>
    </w:p>
  </w:footnote>
  <w:footnote w:id="1">
    <w:p w14:paraId="19623D5B" w14:textId="3B4019F1" w:rsidR="00043D52" w:rsidRPr="00043D52" w:rsidRDefault="00043D52">
      <w:pPr>
        <w:pStyle w:val="FootnoteText"/>
      </w:pPr>
      <w:r>
        <w:rPr>
          <w:rStyle w:val="FootnoteReference"/>
        </w:rPr>
        <w:footnoteRef/>
      </w:r>
      <w:r>
        <w:t xml:space="preserve"> </w:t>
      </w:r>
      <w:r w:rsidRPr="00043D52">
        <w:rPr>
          <w:rFonts w:ascii="Palatino Linotype" w:hAnsi="Palatino Linotype" w:cs="Times New Roman"/>
        </w:rPr>
        <w:t>Judith McNamara</w:t>
      </w:r>
      <w:r>
        <w:rPr>
          <w:rStyle w:val="FootnoteReference"/>
          <w:rFonts w:ascii="Palatino Linotype" w:hAnsi="Palatino Linotype" w:cs="Times New Roman"/>
        </w:rPr>
        <w:footnoteRef/>
      </w:r>
      <w:r w:rsidRPr="00043D52">
        <w:rPr>
          <w:rFonts w:ascii="Palatino Linotype" w:hAnsi="Palatino Linotype" w:cs="Times New Roman"/>
        </w:rPr>
        <w:t xml:space="preserve"> is an Associate Professor and Head of School at QUT Faculty of Law. She researches in legal education</w:t>
      </w:r>
    </w:p>
  </w:footnote>
  <w:footnote w:id="2">
    <w:p w14:paraId="6176760B" w14:textId="77777777" w:rsidR="00043D52" w:rsidRPr="00043D52" w:rsidRDefault="00043D52" w:rsidP="00043D52">
      <w:pPr>
        <w:pStyle w:val="FootnoteText"/>
      </w:pPr>
      <w:r>
        <w:rPr>
          <w:rStyle w:val="FootnoteReference"/>
        </w:rPr>
        <w:footnoteRef/>
      </w:r>
      <w:r>
        <w:t xml:space="preserve"> </w:t>
      </w:r>
      <w:r w:rsidRPr="00043D52">
        <w:rPr>
          <w:rFonts w:ascii="Palatino Linotype" w:hAnsi="Palatino Linotype" w:cs="Times New Roman"/>
        </w:rPr>
        <w:t>Catherine Campbell is a sessional academic at QUT Faculty of Law. She researches in community legal education and legal clinic</w:t>
      </w:r>
    </w:p>
  </w:footnote>
  <w:footnote w:id="3">
    <w:p w14:paraId="5906ED6A" w14:textId="77777777" w:rsidR="00043D52" w:rsidRPr="00043D52" w:rsidRDefault="00043D52" w:rsidP="00043D52">
      <w:pPr>
        <w:pStyle w:val="FootnoteText"/>
      </w:pPr>
      <w:r>
        <w:rPr>
          <w:rStyle w:val="FootnoteReference"/>
        </w:rPr>
        <w:footnoteRef/>
      </w:r>
      <w:r>
        <w:t xml:space="preserve"> </w:t>
      </w:r>
      <w:r w:rsidRPr="00043D52">
        <w:rPr>
          <w:rFonts w:ascii="Palatino Linotype" w:hAnsi="Palatino Linotype" w:cs="Times New Roman"/>
        </w:rPr>
        <w:t>Evan Hamman is a sessional academic at QUT Faculty of Law. He researches in environmental law and is involved in delivering QUT’s clinical programs</w:t>
      </w:r>
      <w:r>
        <w:rPr>
          <w:rFonts w:ascii="Palatino Linotype" w:hAnsi="Palatino Linotype" w:cs="Times New Roman"/>
        </w:rPr>
        <w:t xml:space="preserve">. </w:t>
      </w:r>
      <w:r w:rsidRPr="00043D52">
        <w:rPr>
          <w:rFonts w:ascii="Palatino Linotype" w:hAnsi="Palatino Linotype" w:cs="Times New Roman"/>
        </w:rPr>
        <w:t>The authors wish acknowledge the contribution of Ms Nadine Bradley who conducted and analysed the student focus groups.</w:t>
      </w:r>
    </w:p>
  </w:footnote>
  <w:footnote w:id="4">
    <w:p w14:paraId="4A71D38D" w14:textId="77777777"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Jeff Giddings, ‘Promoting Justice through Clinical Legal Education’ (Justice Press, 2013) 9</w:t>
      </w:r>
    </w:p>
  </w:footnote>
  <w:footnote w:id="5">
    <w:p w14:paraId="0BCDB147" w14:textId="26AF7087"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w:t>
      </w:r>
    </w:p>
  </w:footnote>
  <w:footnote w:id="6">
    <w:p w14:paraId="6D16973B" w14:textId="3184AC22"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Giddings, above n 2.</w:t>
      </w:r>
    </w:p>
  </w:footnote>
  <w:footnote w:id="7">
    <w:p w14:paraId="16B4933E" w14:textId="40677999"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sz w:val="18"/>
          <w:szCs w:val="18"/>
        </w:rPr>
        <w:footnoteRef/>
      </w:r>
      <w:r w:rsidRPr="005459C3">
        <w:rPr>
          <w:rFonts w:ascii="Palatino Linotype" w:hAnsi="Palatino Linotype"/>
          <w:sz w:val="18"/>
          <w:szCs w:val="18"/>
        </w:rPr>
        <w:t xml:space="preserve"> University of Queensland, </w:t>
      </w:r>
      <w:r w:rsidRPr="005459C3">
        <w:rPr>
          <w:rFonts w:ascii="Palatino Linotype" w:hAnsi="Palatino Linotype"/>
          <w:i/>
          <w:sz w:val="18"/>
          <w:szCs w:val="18"/>
        </w:rPr>
        <w:t>Pro Bono Centre submission to Productivity Commission on Access to Justice Review</w:t>
      </w:r>
      <w:r w:rsidRPr="005459C3">
        <w:rPr>
          <w:rFonts w:ascii="Palatino Linotype" w:hAnsi="Palatino Linotype"/>
          <w:sz w:val="18"/>
          <w:szCs w:val="18"/>
        </w:rPr>
        <w:t xml:space="preserve"> &lt;</w:t>
      </w:r>
      <w:hyperlink r:id="rId1" w:history="1">
        <w:r w:rsidRPr="005459C3">
          <w:rPr>
            <w:rStyle w:val="Hyperlink"/>
            <w:rFonts w:ascii="Palatino Linotype" w:hAnsi="Palatino Linotype"/>
            <w:sz w:val="18"/>
            <w:szCs w:val="18"/>
          </w:rPr>
          <w:t>http://www.pc.gov.au/__data/assets/pdf_file/0005/129740/sub074-access-justice.pdf</w:t>
        </w:r>
      </w:hyperlink>
      <w:r w:rsidRPr="005459C3">
        <w:rPr>
          <w:rStyle w:val="Hyperlink"/>
          <w:rFonts w:ascii="Palatino Linotype" w:hAnsi="Palatino Linotype"/>
          <w:sz w:val="18"/>
          <w:szCs w:val="18"/>
        </w:rPr>
        <w:t>&gt;</w:t>
      </w:r>
      <w:r w:rsidRPr="005459C3">
        <w:rPr>
          <w:rFonts w:ascii="Palatino Linotype" w:hAnsi="Palatino Linotype"/>
          <w:sz w:val="18"/>
          <w:szCs w:val="18"/>
        </w:rPr>
        <w:t xml:space="preserve"> </w:t>
      </w:r>
    </w:p>
  </w:footnote>
  <w:footnote w:id="8">
    <w:p w14:paraId="28817F13" w14:textId="5CB0B06E" w:rsidR="00107F8C"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Giddings, above n 2, 10.</w:t>
      </w:r>
    </w:p>
  </w:footnote>
  <w:footnote w:id="9">
    <w:p w14:paraId="0AF4D5AC" w14:textId="5C460B2A" w:rsidR="00107F8C" w:rsidRPr="005459C3" w:rsidRDefault="00107F8C" w:rsidP="00676CAF">
      <w:pPr>
        <w:pStyle w:val="FootnoteText"/>
        <w:rPr>
          <w:rFonts w:ascii="Palatino Linotype" w:hAnsi="Palatino Linotype"/>
        </w:rPr>
      </w:pPr>
      <w:r>
        <w:rPr>
          <w:rStyle w:val="FootnoteReference"/>
        </w:rPr>
        <w:footnoteRef/>
      </w:r>
      <w:r>
        <w:t xml:space="preserve"> </w:t>
      </w:r>
      <w:r w:rsidRPr="005459C3">
        <w:rPr>
          <w:rFonts w:ascii="Palatino Linotype" w:hAnsi="Palatino Linotype"/>
        </w:rPr>
        <w:t>Ibid.</w:t>
      </w:r>
    </w:p>
  </w:footnote>
  <w:footnote w:id="10">
    <w:p w14:paraId="6DB5CBD2" w14:textId="2767074C"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Giddings, above n 2, 10.</w:t>
      </w:r>
    </w:p>
  </w:footnote>
  <w:footnote w:id="11">
    <w:p w14:paraId="72593B29" w14:textId="368FB02C"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 104.</w:t>
      </w:r>
    </w:p>
  </w:footnote>
  <w:footnote w:id="12">
    <w:p w14:paraId="643F881B" w14:textId="29C97C27"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The United States has led the way in interdisciplinary CLE. There are, in fact, a variety of models of interdisciplinary collaboration now recognised in the United States. See </w:t>
      </w:r>
      <w:r w:rsidRPr="005459C3">
        <w:rPr>
          <w:rFonts w:ascii="Palatino Linotype" w:hAnsi="Palatino Linotype"/>
          <w:lang w:val="en-US"/>
        </w:rPr>
        <w:t xml:space="preserve">Karen </w:t>
      </w:r>
      <w:proofErr w:type="spellStart"/>
      <w:r w:rsidRPr="005459C3">
        <w:rPr>
          <w:rFonts w:ascii="Palatino Linotype" w:hAnsi="Palatino Linotype"/>
          <w:lang w:val="en-US"/>
        </w:rPr>
        <w:t>Tokarz</w:t>
      </w:r>
      <w:proofErr w:type="spellEnd"/>
      <w:r w:rsidRPr="005459C3">
        <w:rPr>
          <w:rFonts w:ascii="Palatino Linotype" w:hAnsi="Palatino Linotype"/>
          <w:lang w:val="en-US"/>
        </w:rPr>
        <w:t xml:space="preserve">, Nancy L. Cook, Susan Brooks and Brenda Bratton </w:t>
      </w:r>
      <w:proofErr w:type="spellStart"/>
      <w:r w:rsidRPr="005459C3">
        <w:rPr>
          <w:rFonts w:ascii="Palatino Linotype" w:hAnsi="Palatino Linotype"/>
          <w:lang w:val="en-US"/>
        </w:rPr>
        <w:t>Blom</w:t>
      </w:r>
      <w:proofErr w:type="spellEnd"/>
      <w:r w:rsidRPr="005459C3">
        <w:rPr>
          <w:rFonts w:ascii="Palatino Linotype" w:hAnsi="Palatino Linotype"/>
          <w:lang w:val="en-US"/>
        </w:rPr>
        <w:t xml:space="preserve">, ‘Conversations on “Community Lawyering”: The Newest (Oldest) Wave in Clinical Legal Education.’ 28 </w:t>
      </w:r>
      <w:r w:rsidRPr="005459C3">
        <w:rPr>
          <w:rFonts w:ascii="Palatino Linotype" w:hAnsi="Palatino Linotype"/>
          <w:i/>
          <w:lang w:val="en-US"/>
        </w:rPr>
        <w:t>Journal of Law &amp; Policy</w:t>
      </w:r>
      <w:r w:rsidRPr="005459C3">
        <w:rPr>
          <w:rFonts w:ascii="Palatino Linotype" w:hAnsi="Palatino Linotype"/>
          <w:lang w:val="en-US"/>
        </w:rPr>
        <w:t xml:space="preserve"> 359-402, </w:t>
      </w:r>
      <w:r w:rsidRPr="005459C3">
        <w:rPr>
          <w:rFonts w:ascii="Palatino Linotype" w:hAnsi="Palatino Linotype"/>
        </w:rPr>
        <w:t>382.</w:t>
      </w:r>
    </w:p>
  </w:footnote>
  <w:footnote w:id="13">
    <w:p w14:paraId="74556985" w14:textId="5436D96E"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Foster, Richard ‘Multi-Disciplinary Practice in a Community Law Environment: New Models for Clinical Legal Education’ </w:t>
      </w:r>
      <w:r w:rsidRPr="005459C3">
        <w:rPr>
          <w:rFonts w:ascii="Palatino Linotype" w:hAnsi="Palatino Linotype"/>
          <w:iCs/>
        </w:rPr>
        <w:t xml:space="preserve">(2013) </w:t>
      </w:r>
      <w:r w:rsidRPr="005459C3">
        <w:rPr>
          <w:rFonts w:ascii="Palatino Linotype" w:hAnsi="Palatino Linotype"/>
          <w:i/>
          <w:iCs/>
        </w:rPr>
        <w:t>19 Int'l J. Clinical Legal Educ. 413,</w:t>
      </w:r>
      <w:r w:rsidRPr="005459C3">
        <w:rPr>
          <w:rFonts w:ascii="Palatino Linotype" w:hAnsi="Palatino Linotype"/>
        </w:rPr>
        <w:t xml:space="preserve"> 419.</w:t>
      </w:r>
    </w:p>
  </w:footnote>
  <w:footnote w:id="14">
    <w:p w14:paraId="0BBDFADF" w14:textId="081AAA1E" w:rsidR="00107F8C"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Ibid</w:t>
      </w:r>
      <w:r>
        <w:t>.</w:t>
      </w:r>
    </w:p>
  </w:footnote>
  <w:footnote w:id="15">
    <w:p w14:paraId="124DF1B0" w14:textId="01FCFA13"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Giddings, above n 2, 126</w:t>
      </w:r>
    </w:p>
  </w:footnote>
  <w:footnote w:id="16">
    <w:p w14:paraId="533DBB03" w14:textId="1662BBF2"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w:t>
      </w:r>
    </w:p>
  </w:footnote>
  <w:footnote w:id="17">
    <w:p w14:paraId="023C4646" w14:textId="228B218C"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Sadly, Adrian Taylor passed away in January 2014. </w:t>
      </w:r>
      <w:r w:rsidRPr="005459C3">
        <w:rPr>
          <w:rFonts w:ascii="Palatino Linotype" w:hAnsi="Palatino Linotype"/>
          <w:color w:val="000000"/>
          <w:shd w:val="clear" w:color="auto" w:fill="FFFFFF"/>
        </w:rPr>
        <w:t xml:space="preserve">See University of Kent, </w:t>
      </w:r>
      <w:r w:rsidRPr="005459C3">
        <w:rPr>
          <w:rFonts w:ascii="Palatino Linotype" w:hAnsi="Palatino Linotype"/>
          <w:i/>
          <w:color w:val="000000"/>
          <w:shd w:val="clear" w:color="auto" w:fill="FFFFFF"/>
        </w:rPr>
        <w:t>News</w:t>
      </w:r>
      <w:r w:rsidRPr="005459C3">
        <w:rPr>
          <w:rFonts w:ascii="Palatino Linotype" w:hAnsi="Palatino Linotype"/>
          <w:color w:val="000000"/>
          <w:shd w:val="clear" w:color="auto" w:fill="FFFFFF"/>
        </w:rPr>
        <w:t xml:space="preserve"> &lt;</w:t>
      </w:r>
      <w:hyperlink r:id="rId2" w:history="1">
        <w:r w:rsidRPr="005459C3">
          <w:rPr>
            <w:rStyle w:val="Hyperlink"/>
            <w:rFonts w:ascii="Palatino Linotype" w:hAnsi="Palatino Linotype"/>
          </w:rPr>
          <w:t>http://www.kent.ac.uk/giving/lawcampaign/news/index.html?view=173</w:t>
        </w:r>
      </w:hyperlink>
      <w:r w:rsidRPr="005459C3">
        <w:rPr>
          <w:rStyle w:val="Hyperlink"/>
          <w:rFonts w:ascii="Palatino Linotype" w:hAnsi="Palatino Linotype"/>
        </w:rPr>
        <w:t>&gt;.</w:t>
      </w:r>
      <w:r w:rsidRPr="005459C3">
        <w:rPr>
          <w:rFonts w:ascii="Palatino Linotype" w:hAnsi="Palatino Linotype"/>
        </w:rPr>
        <w:t xml:space="preserve"> </w:t>
      </w:r>
    </w:p>
  </w:footnote>
  <w:footnote w:id="18">
    <w:p w14:paraId="5D609949" w14:textId="5EA375B8"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Adrian Taylor ‘Clinical legal education’ (1977) 2(2) </w:t>
      </w:r>
      <w:r w:rsidRPr="005459C3">
        <w:rPr>
          <w:rFonts w:ascii="Palatino Linotype" w:hAnsi="Palatino Linotype"/>
          <w:i/>
        </w:rPr>
        <w:t>Studies in Higher Education</w:t>
      </w:r>
      <w:r w:rsidRPr="005459C3">
        <w:rPr>
          <w:rFonts w:ascii="Palatino Linotype" w:hAnsi="Palatino Linotype"/>
        </w:rPr>
        <w:t xml:space="preserve"> 137-147. </w:t>
      </w:r>
    </w:p>
  </w:footnote>
  <w:footnote w:id="19">
    <w:p w14:paraId="5DE565A7" w14:textId="33D5FD46"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 144.</w:t>
      </w:r>
    </w:p>
  </w:footnote>
  <w:footnote w:id="20">
    <w:p w14:paraId="4479AA3C" w14:textId="4F36A626" w:rsidR="00107F8C"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Taylor above, n 16, 138.</w:t>
      </w:r>
    </w:p>
  </w:footnote>
  <w:footnote w:id="21">
    <w:p w14:paraId="0A848F39" w14:textId="41563FE2"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iCs/>
        </w:rPr>
        <w:t xml:space="preserve">The Kent Law Clinic was re-established in 1992. See University of Kent, </w:t>
      </w:r>
      <w:r w:rsidRPr="005459C3">
        <w:rPr>
          <w:rFonts w:ascii="Palatino Linotype" w:hAnsi="Palatino Linotype"/>
          <w:i/>
          <w:iCs/>
        </w:rPr>
        <w:t>News</w:t>
      </w:r>
      <w:r w:rsidRPr="005459C3">
        <w:rPr>
          <w:rFonts w:ascii="Palatino Linotype" w:hAnsi="Palatino Linotype"/>
          <w:iCs/>
        </w:rPr>
        <w:t xml:space="preserve"> &lt;</w:t>
      </w:r>
      <w:hyperlink r:id="rId3" w:history="1">
        <w:r w:rsidRPr="005459C3">
          <w:rPr>
            <w:rStyle w:val="Hyperlink"/>
            <w:rFonts w:ascii="Palatino Linotype" w:hAnsi="Palatino Linotype"/>
          </w:rPr>
          <w:t>http://www.kent.ac.uk/giving/lawcampaign/news/index.html?view=173</w:t>
        </w:r>
      </w:hyperlink>
      <w:r w:rsidRPr="005459C3">
        <w:rPr>
          <w:rStyle w:val="Hyperlink"/>
          <w:rFonts w:ascii="Palatino Linotype" w:hAnsi="Palatino Linotype"/>
        </w:rPr>
        <w:t xml:space="preserve">&gt; </w:t>
      </w:r>
      <w:r w:rsidRPr="005459C3">
        <w:rPr>
          <w:rStyle w:val="Hyperlink"/>
          <w:rFonts w:ascii="Palatino Linotype" w:hAnsi="Palatino Linotype"/>
          <w:color w:val="auto"/>
          <w:u w:val="none"/>
        </w:rPr>
        <w:t xml:space="preserve">For further analysis of the Kent Clinic see William M Rees, Clinical Legal Education: An Analysis of the University of Kent Model (1975), 9 </w:t>
      </w:r>
      <w:r w:rsidRPr="005459C3">
        <w:rPr>
          <w:rStyle w:val="Hyperlink"/>
          <w:rFonts w:ascii="Palatino Linotype" w:hAnsi="Palatino Linotype"/>
          <w:i/>
          <w:color w:val="auto"/>
          <w:u w:val="none"/>
        </w:rPr>
        <w:t>Law Teacher</w:t>
      </w:r>
      <w:r w:rsidRPr="005459C3">
        <w:rPr>
          <w:rStyle w:val="Hyperlink"/>
          <w:rFonts w:ascii="Palatino Linotype" w:hAnsi="Palatino Linotype"/>
          <w:color w:val="auto"/>
          <w:u w:val="none"/>
        </w:rPr>
        <w:t xml:space="preserve"> </w:t>
      </w:r>
      <w:r w:rsidRPr="005459C3">
        <w:rPr>
          <w:rFonts w:ascii="Palatino Linotype" w:hAnsi="Palatino Linotype"/>
        </w:rPr>
        <w:t xml:space="preserve">125. Professor </w:t>
      </w:r>
      <w:proofErr w:type="spellStart"/>
      <w:r w:rsidRPr="005459C3">
        <w:rPr>
          <w:rFonts w:ascii="Palatino Linotype" w:hAnsi="Palatino Linotype"/>
        </w:rPr>
        <w:t>Avrom</w:t>
      </w:r>
      <w:proofErr w:type="spellEnd"/>
      <w:r w:rsidRPr="005459C3">
        <w:rPr>
          <w:rFonts w:ascii="Palatino Linotype" w:hAnsi="Palatino Linotype"/>
        </w:rPr>
        <w:t xml:space="preserve"> </w:t>
      </w:r>
      <w:proofErr w:type="spellStart"/>
      <w:r w:rsidRPr="005459C3">
        <w:rPr>
          <w:rFonts w:ascii="Palatino Linotype" w:hAnsi="Palatino Linotype"/>
        </w:rPr>
        <w:t>Sherr</w:t>
      </w:r>
      <w:proofErr w:type="spellEnd"/>
      <w:r w:rsidRPr="005459C3">
        <w:rPr>
          <w:rFonts w:ascii="Palatino Linotype" w:hAnsi="Palatino Linotype"/>
        </w:rPr>
        <w:t xml:space="preserve"> also wrote an account of a similar clinic at Warwick established in the 1970s. See </w:t>
      </w:r>
      <w:proofErr w:type="spellStart"/>
      <w:r w:rsidRPr="005459C3">
        <w:rPr>
          <w:rFonts w:ascii="Palatino Linotype" w:hAnsi="Palatino Linotype"/>
        </w:rPr>
        <w:t>Avrom</w:t>
      </w:r>
      <w:proofErr w:type="spellEnd"/>
      <w:r w:rsidRPr="005459C3">
        <w:rPr>
          <w:rFonts w:ascii="Palatino Linotype" w:hAnsi="Palatino Linotype"/>
        </w:rPr>
        <w:t xml:space="preserve"> </w:t>
      </w:r>
      <w:proofErr w:type="spellStart"/>
      <w:r w:rsidRPr="005459C3">
        <w:rPr>
          <w:rFonts w:ascii="Palatino Linotype" w:hAnsi="Palatino Linotype"/>
        </w:rPr>
        <w:t>Sherr</w:t>
      </w:r>
      <w:proofErr w:type="spellEnd"/>
      <w:r w:rsidRPr="005459C3">
        <w:rPr>
          <w:rFonts w:ascii="Palatino Linotype" w:hAnsi="Palatino Linotype"/>
        </w:rPr>
        <w:t>, Clinical Legal Education at Warwick and the Skills Movement: Was Clinic a Creature of its Time? in G Wilson, (</w:t>
      </w:r>
      <w:proofErr w:type="spellStart"/>
      <w:r w:rsidRPr="005459C3">
        <w:rPr>
          <w:rFonts w:ascii="Palatino Linotype" w:hAnsi="Palatino Linotype"/>
        </w:rPr>
        <w:t>ed</w:t>
      </w:r>
      <w:proofErr w:type="spellEnd"/>
      <w:r w:rsidRPr="005459C3">
        <w:rPr>
          <w:rFonts w:ascii="Palatino Linotype" w:hAnsi="Palatino Linotype"/>
        </w:rPr>
        <w:t xml:space="preserve">) </w:t>
      </w:r>
      <w:r w:rsidRPr="005459C3">
        <w:rPr>
          <w:rFonts w:ascii="Palatino Linotype" w:hAnsi="Palatino Linotype"/>
          <w:i/>
          <w:iCs/>
        </w:rPr>
        <w:t>Frontiers of Legal Scholarship</w:t>
      </w:r>
      <w:r w:rsidRPr="005459C3">
        <w:rPr>
          <w:rFonts w:ascii="Palatino Linotype" w:hAnsi="Palatino Linotype"/>
        </w:rPr>
        <w:t xml:space="preserve"> (John Wiley &amp; Sons, 1995).</w:t>
      </w:r>
    </w:p>
  </w:footnote>
  <w:footnote w:id="22">
    <w:p w14:paraId="1A7745DE" w14:textId="62C7B5A8"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Karen </w:t>
      </w:r>
      <w:proofErr w:type="spellStart"/>
      <w:r w:rsidRPr="005459C3">
        <w:rPr>
          <w:rFonts w:ascii="Palatino Linotype" w:hAnsi="Palatino Linotype"/>
        </w:rPr>
        <w:t>Clubb</w:t>
      </w:r>
      <w:proofErr w:type="spellEnd"/>
      <w:r w:rsidRPr="005459C3">
        <w:rPr>
          <w:rFonts w:ascii="Palatino Linotype" w:hAnsi="Palatino Linotype"/>
        </w:rPr>
        <w:t xml:space="preserve">, ‘Masters of Our Destiny - The Integration of Law Clinic into Post Graduate Masters Provision.’ (2013) 19 </w:t>
      </w:r>
      <w:r w:rsidRPr="005459C3">
        <w:rPr>
          <w:rFonts w:ascii="Palatino Linotype" w:hAnsi="Palatino Linotype"/>
          <w:i/>
        </w:rPr>
        <w:t>Int'l J. Clinical Legal Educ</w:t>
      </w:r>
      <w:r w:rsidRPr="005459C3">
        <w:rPr>
          <w:rFonts w:ascii="Palatino Linotype" w:hAnsi="Palatino Linotype"/>
        </w:rPr>
        <w:t xml:space="preserve">. 395. </w:t>
      </w:r>
    </w:p>
  </w:footnote>
  <w:footnote w:id="23">
    <w:p w14:paraId="6CC0060D" w14:textId="1C5B7C6F"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 398.</w:t>
      </w:r>
    </w:p>
  </w:footnote>
  <w:footnote w:id="24">
    <w:p w14:paraId="1DB5079A" w14:textId="18395639"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proofErr w:type="spellStart"/>
      <w:r w:rsidRPr="005459C3">
        <w:rPr>
          <w:rFonts w:ascii="Palatino Linotype" w:hAnsi="Palatino Linotype"/>
        </w:rPr>
        <w:t>Clubb</w:t>
      </w:r>
      <w:proofErr w:type="spellEnd"/>
      <w:r w:rsidRPr="005459C3">
        <w:rPr>
          <w:rFonts w:ascii="Palatino Linotype" w:hAnsi="Palatino Linotype"/>
        </w:rPr>
        <w:t>, above n 20, 398.</w:t>
      </w:r>
    </w:p>
  </w:footnote>
  <w:footnote w:id="25">
    <w:p w14:paraId="44F1618E" w14:textId="205F72C4" w:rsidR="00107F8C"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Ibid, 397.</w:t>
      </w:r>
    </w:p>
  </w:footnote>
  <w:footnote w:id="26">
    <w:p w14:paraId="7B3870C7" w14:textId="14D3EA90"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R Downs, ‘Experiential Learning: In a Practical Legal Training Course’ (1989) 7(2) </w:t>
      </w:r>
      <w:r w:rsidRPr="005459C3">
        <w:rPr>
          <w:rFonts w:ascii="Palatino Linotype" w:hAnsi="Palatino Linotype"/>
          <w:i/>
        </w:rPr>
        <w:t xml:space="preserve">Journal of Professional Legal </w:t>
      </w:r>
      <w:r w:rsidRPr="005459C3">
        <w:rPr>
          <w:rFonts w:ascii="Palatino Linotype" w:hAnsi="Palatino Linotype"/>
        </w:rPr>
        <w:t>Education 141-147, 142</w:t>
      </w:r>
    </w:p>
  </w:footnote>
  <w:footnote w:id="27">
    <w:p w14:paraId="3F4B8D96" w14:textId="2EB690C2"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proofErr w:type="spellStart"/>
      <w:r w:rsidRPr="005459C3">
        <w:rPr>
          <w:rFonts w:ascii="Palatino Linotype" w:hAnsi="Palatino Linotype"/>
        </w:rPr>
        <w:t>Clubb</w:t>
      </w:r>
      <w:proofErr w:type="spellEnd"/>
      <w:r w:rsidRPr="005459C3">
        <w:rPr>
          <w:rFonts w:ascii="Palatino Linotype" w:hAnsi="Palatino Linotype"/>
        </w:rPr>
        <w:t>, above n 20.</w:t>
      </w:r>
    </w:p>
  </w:footnote>
  <w:footnote w:id="28">
    <w:p w14:paraId="508380BE" w14:textId="21793D1C"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 398.</w:t>
      </w:r>
    </w:p>
  </w:footnote>
  <w:footnote w:id="29">
    <w:p w14:paraId="5FEEDD47" w14:textId="38D69F04"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proofErr w:type="spellStart"/>
      <w:r w:rsidRPr="005459C3">
        <w:rPr>
          <w:rFonts w:ascii="Palatino Linotype" w:hAnsi="Palatino Linotype"/>
        </w:rPr>
        <w:t>Clubb</w:t>
      </w:r>
      <w:proofErr w:type="spellEnd"/>
      <w:r w:rsidRPr="005459C3">
        <w:rPr>
          <w:rFonts w:ascii="Palatino Linotype" w:hAnsi="Palatino Linotype"/>
        </w:rPr>
        <w:t>, above n 20, 398.</w:t>
      </w:r>
    </w:p>
  </w:footnote>
  <w:footnote w:id="30">
    <w:p w14:paraId="69ABC7FA" w14:textId="72C42B10" w:rsidR="00107F8C"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Juliet M. Brodie, ‘Little Cases on the Middle Ground: Teaching Social Justice Lawyering in </w:t>
      </w:r>
      <w:proofErr w:type="spellStart"/>
      <w:r w:rsidRPr="005459C3">
        <w:rPr>
          <w:rFonts w:ascii="Palatino Linotype" w:hAnsi="Palatino Linotype"/>
        </w:rPr>
        <w:t>Neighborhood</w:t>
      </w:r>
      <w:proofErr w:type="spellEnd"/>
      <w:r w:rsidRPr="005459C3">
        <w:rPr>
          <w:rFonts w:ascii="Palatino Linotype" w:hAnsi="Palatino Linotype"/>
        </w:rPr>
        <w:t xml:space="preserve">-Based Community Lawyering Clinics’ (2009) 15 </w:t>
      </w:r>
      <w:r w:rsidRPr="005459C3">
        <w:rPr>
          <w:rFonts w:ascii="Palatino Linotype" w:hAnsi="Palatino Linotype"/>
          <w:i/>
        </w:rPr>
        <w:t>Clinical Law Review</w:t>
      </w:r>
      <w:r w:rsidRPr="005459C3">
        <w:rPr>
          <w:rFonts w:ascii="Palatino Linotype" w:hAnsi="Palatino Linotype"/>
        </w:rPr>
        <w:t xml:space="preserve"> 333, 335.</w:t>
      </w:r>
    </w:p>
  </w:footnote>
  <w:footnote w:id="31">
    <w:p w14:paraId="7E23C431" w14:textId="5716D358"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w:t>
      </w:r>
    </w:p>
  </w:footnote>
  <w:footnote w:id="32">
    <w:p w14:paraId="3D2A8E1A" w14:textId="31CE5CD1"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Brodie, above n 28, 335.</w:t>
      </w:r>
    </w:p>
  </w:footnote>
  <w:footnote w:id="33">
    <w:p w14:paraId="249A507E" w14:textId="26AF8CC4"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Ibid, 334.</w:t>
      </w:r>
    </w:p>
  </w:footnote>
  <w:footnote w:id="34">
    <w:p w14:paraId="4F0EAB78" w14:textId="422E5128"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 xml:space="preserve">Karen </w:t>
      </w:r>
      <w:proofErr w:type="spellStart"/>
      <w:r w:rsidRPr="005459C3">
        <w:rPr>
          <w:rFonts w:ascii="Palatino Linotype" w:hAnsi="Palatino Linotype"/>
          <w:lang w:val="en-US"/>
        </w:rPr>
        <w:t>Tokarz</w:t>
      </w:r>
      <w:proofErr w:type="spellEnd"/>
      <w:r w:rsidRPr="005459C3">
        <w:rPr>
          <w:rFonts w:ascii="Palatino Linotype" w:hAnsi="Palatino Linotype"/>
          <w:lang w:val="en-US"/>
        </w:rPr>
        <w:t xml:space="preserve">, Nancy Cook, Susan Brooks and Brenda Bratton </w:t>
      </w:r>
      <w:proofErr w:type="spellStart"/>
      <w:r w:rsidRPr="005459C3">
        <w:rPr>
          <w:rFonts w:ascii="Palatino Linotype" w:hAnsi="Palatino Linotype"/>
          <w:lang w:val="en-US"/>
        </w:rPr>
        <w:t>Blom</w:t>
      </w:r>
      <w:proofErr w:type="spellEnd"/>
      <w:r w:rsidRPr="005459C3">
        <w:rPr>
          <w:rFonts w:ascii="Palatino Linotype" w:hAnsi="Palatino Linotype"/>
          <w:lang w:val="en-US"/>
        </w:rPr>
        <w:t xml:space="preserve"> ‘Conversations on Community Lawyering: The Newest (Oldest) Wave in Clinical Legal Education’ (2008) 28 </w:t>
      </w:r>
      <w:r w:rsidRPr="005459C3">
        <w:rPr>
          <w:rFonts w:ascii="Palatino Linotype" w:hAnsi="Palatino Linotype"/>
          <w:i/>
          <w:lang w:val="en-US"/>
        </w:rPr>
        <w:t>Journal of Law &amp; Policy</w:t>
      </w:r>
      <w:r w:rsidRPr="005459C3">
        <w:rPr>
          <w:rFonts w:ascii="Palatino Linotype" w:hAnsi="Palatino Linotype"/>
          <w:lang w:val="en-US"/>
        </w:rPr>
        <w:t xml:space="preserve"> 359-402, </w:t>
      </w:r>
      <w:r w:rsidRPr="005459C3">
        <w:rPr>
          <w:rFonts w:ascii="Palatino Linotype" w:hAnsi="Palatino Linotype"/>
        </w:rPr>
        <w:t>360.</w:t>
      </w:r>
    </w:p>
  </w:footnote>
  <w:footnote w:id="35">
    <w:p w14:paraId="00D4EF31" w14:textId="519BD972"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 xml:space="preserve">Ibid, </w:t>
      </w:r>
      <w:r w:rsidRPr="005459C3">
        <w:rPr>
          <w:rFonts w:ascii="Palatino Linotype" w:hAnsi="Palatino Linotype"/>
        </w:rPr>
        <w:t>363.</w:t>
      </w:r>
    </w:p>
  </w:footnote>
  <w:footnote w:id="36">
    <w:p w14:paraId="03E8E10E" w14:textId="7B58C401"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proofErr w:type="spellStart"/>
      <w:r w:rsidRPr="005459C3">
        <w:rPr>
          <w:rFonts w:ascii="Palatino Linotype" w:hAnsi="Palatino Linotype"/>
          <w:lang w:val="en-US"/>
        </w:rPr>
        <w:t>Tokarz</w:t>
      </w:r>
      <w:proofErr w:type="spellEnd"/>
      <w:r w:rsidRPr="005459C3">
        <w:rPr>
          <w:rFonts w:ascii="Palatino Linotype" w:hAnsi="Palatino Linotype"/>
          <w:lang w:val="en-US"/>
        </w:rPr>
        <w:t xml:space="preserve"> </w:t>
      </w:r>
      <w:r w:rsidRPr="005459C3">
        <w:rPr>
          <w:rFonts w:ascii="Palatino Linotype" w:hAnsi="Palatino Linotype"/>
          <w:i/>
          <w:lang w:val="en-US"/>
        </w:rPr>
        <w:t>et al</w:t>
      </w:r>
      <w:r w:rsidRPr="005459C3">
        <w:rPr>
          <w:rFonts w:ascii="Palatino Linotype" w:hAnsi="Palatino Linotype"/>
          <w:lang w:val="en-US"/>
        </w:rPr>
        <w:t xml:space="preserve">., above n 32, </w:t>
      </w:r>
      <w:r w:rsidRPr="005459C3">
        <w:rPr>
          <w:rFonts w:ascii="Palatino Linotype" w:hAnsi="Palatino Linotype"/>
        </w:rPr>
        <w:t>363.</w:t>
      </w:r>
    </w:p>
  </w:footnote>
  <w:footnote w:id="37">
    <w:p w14:paraId="180E76AF" w14:textId="58AFBB8F" w:rsidR="00107F8C"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Brodie, above n 28, 344.</w:t>
      </w:r>
    </w:p>
  </w:footnote>
  <w:footnote w:id="38">
    <w:p w14:paraId="7DEBD711" w14:textId="0314096B" w:rsidR="00107F8C" w:rsidRPr="005459C3" w:rsidRDefault="00107F8C" w:rsidP="00676CAF">
      <w:pPr>
        <w:pStyle w:val="FootnoteText"/>
        <w:rPr>
          <w:rFonts w:ascii="Palatino Linotype" w:hAnsi="Palatino Linotype"/>
          <w:lang w:val="en-US"/>
        </w:rPr>
      </w:pPr>
      <w:r w:rsidRPr="005459C3">
        <w:rPr>
          <w:rStyle w:val="FootnoteReference"/>
          <w:rFonts w:ascii="Palatino Linotype" w:hAnsi="Palatino Linotype"/>
        </w:rPr>
        <w:footnoteRef/>
      </w:r>
      <w:r w:rsidRPr="005459C3">
        <w:rPr>
          <w:rFonts w:ascii="Palatino Linotype" w:hAnsi="Palatino Linotype"/>
        </w:rPr>
        <w:t xml:space="preserve"> </w:t>
      </w:r>
      <w:proofErr w:type="spellStart"/>
      <w:r w:rsidRPr="005459C3">
        <w:rPr>
          <w:rFonts w:ascii="Palatino Linotype" w:hAnsi="Palatino Linotype"/>
          <w:lang w:val="en-US"/>
        </w:rPr>
        <w:t>Tokarz</w:t>
      </w:r>
      <w:proofErr w:type="spellEnd"/>
      <w:r w:rsidRPr="005459C3">
        <w:rPr>
          <w:rFonts w:ascii="Palatino Linotype" w:hAnsi="Palatino Linotype"/>
          <w:lang w:val="en-US"/>
        </w:rPr>
        <w:t xml:space="preserve"> </w:t>
      </w:r>
      <w:r w:rsidRPr="005459C3">
        <w:rPr>
          <w:rFonts w:ascii="Palatino Linotype" w:hAnsi="Palatino Linotype"/>
          <w:i/>
          <w:lang w:val="en-US"/>
        </w:rPr>
        <w:t>et al</w:t>
      </w:r>
      <w:r w:rsidRPr="005459C3">
        <w:rPr>
          <w:rFonts w:ascii="Palatino Linotype" w:hAnsi="Palatino Linotype"/>
          <w:lang w:val="en-US"/>
        </w:rPr>
        <w:t xml:space="preserve">., above n 32, </w:t>
      </w:r>
      <w:r w:rsidRPr="005459C3">
        <w:rPr>
          <w:rFonts w:ascii="Palatino Linotype" w:hAnsi="Palatino Linotype"/>
        </w:rPr>
        <w:t>363.</w:t>
      </w:r>
    </w:p>
  </w:footnote>
  <w:footnote w:id="39">
    <w:p w14:paraId="5BA6B0A6" w14:textId="6CA3D218"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Ibid.</w:t>
      </w:r>
    </w:p>
  </w:footnote>
  <w:footnote w:id="40">
    <w:p w14:paraId="24D3BDED" w14:textId="230A0A38"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Brodie, above n 28, 334.</w:t>
      </w:r>
    </w:p>
  </w:footnote>
  <w:footnote w:id="41">
    <w:p w14:paraId="6A29FCF8" w14:textId="7DBFE604" w:rsidR="00107F8C" w:rsidRPr="00E074A5"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w:t>
      </w:r>
      <w:proofErr w:type="spellStart"/>
      <w:r w:rsidRPr="005459C3">
        <w:rPr>
          <w:rFonts w:ascii="Palatino Linotype" w:hAnsi="Palatino Linotype"/>
          <w:lang w:val="en-US"/>
        </w:rPr>
        <w:t>Tokarz</w:t>
      </w:r>
      <w:proofErr w:type="spellEnd"/>
      <w:r w:rsidRPr="005459C3">
        <w:rPr>
          <w:rFonts w:ascii="Palatino Linotype" w:hAnsi="Palatino Linotype"/>
          <w:lang w:val="en-US"/>
        </w:rPr>
        <w:t xml:space="preserve"> </w:t>
      </w:r>
      <w:r w:rsidRPr="005459C3">
        <w:rPr>
          <w:rFonts w:ascii="Palatino Linotype" w:hAnsi="Palatino Linotype"/>
          <w:i/>
          <w:lang w:val="en-US"/>
        </w:rPr>
        <w:t>et al</w:t>
      </w:r>
      <w:r w:rsidRPr="005459C3">
        <w:rPr>
          <w:rFonts w:ascii="Palatino Linotype" w:hAnsi="Palatino Linotype"/>
          <w:lang w:val="en-US"/>
        </w:rPr>
        <w:t xml:space="preserve">., above n 32, </w:t>
      </w:r>
      <w:r w:rsidRPr="005459C3">
        <w:rPr>
          <w:rFonts w:ascii="Palatino Linotype" w:hAnsi="Palatino Linotype"/>
        </w:rPr>
        <w:t>379.</w:t>
      </w:r>
    </w:p>
  </w:footnote>
  <w:footnote w:id="42">
    <w:p w14:paraId="19DEA490" w14:textId="45E81C91" w:rsidR="00107F8C" w:rsidRPr="005459C3" w:rsidRDefault="00107F8C" w:rsidP="004C3080">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t>
      </w:r>
      <w:r w:rsidRPr="005459C3">
        <w:rPr>
          <w:rFonts w:ascii="Palatino Linotype" w:hAnsi="Palatino Linotype" w:cs="Arial"/>
          <w:color w:val="000000" w:themeColor="text1"/>
          <w:lang w:val="en-US"/>
        </w:rPr>
        <w:t xml:space="preserve">Ibid. </w:t>
      </w:r>
    </w:p>
  </w:footnote>
  <w:footnote w:id="43">
    <w:p w14:paraId="0D5BDECA" w14:textId="28514DC4" w:rsidR="00107F8C" w:rsidRPr="005459C3" w:rsidRDefault="00107F8C" w:rsidP="003E2124">
      <w:pPr>
        <w:pStyle w:val="FootnoteText"/>
        <w:ind w:left="142" w:hanging="142"/>
        <w:rPr>
          <w:rFonts w:ascii="Palatino Linotype" w:hAnsi="Palatino Linotype" w:cs="Arial"/>
          <w:color w:val="0070C0"/>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t>
      </w:r>
      <w:r w:rsidRPr="005459C3">
        <w:rPr>
          <w:rFonts w:ascii="Palatino Linotype" w:hAnsi="Palatino Linotype" w:cs="Arial"/>
        </w:rPr>
        <w:t xml:space="preserve">Marcy Karin and Robin </w:t>
      </w:r>
      <w:proofErr w:type="spellStart"/>
      <w:r w:rsidRPr="005459C3">
        <w:rPr>
          <w:rFonts w:ascii="Palatino Linotype" w:hAnsi="Palatino Linotype" w:cs="Arial"/>
        </w:rPr>
        <w:t>Runge</w:t>
      </w:r>
      <w:proofErr w:type="spellEnd"/>
      <w:r w:rsidRPr="005459C3">
        <w:rPr>
          <w:rFonts w:ascii="Palatino Linotype" w:hAnsi="Palatino Linotype" w:cs="Arial"/>
        </w:rPr>
        <w:t xml:space="preserve">, ‘Toward Integrated Law Clinics That Train Social Change Advocates’ (2011) 17 </w:t>
      </w:r>
      <w:r w:rsidRPr="005459C3">
        <w:rPr>
          <w:rFonts w:ascii="Palatino Linotype" w:hAnsi="Palatino Linotype" w:cs="Arial"/>
          <w:i/>
          <w:iCs/>
        </w:rPr>
        <w:t xml:space="preserve">Clinical Law Review </w:t>
      </w:r>
      <w:r w:rsidRPr="005459C3">
        <w:rPr>
          <w:rFonts w:ascii="Palatino Linotype" w:hAnsi="Palatino Linotype" w:cs="Arial"/>
        </w:rPr>
        <w:t>563, 570.</w:t>
      </w:r>
    </w:p>
  </w:footnote>
  <w:footnote w:id="44">
    <w:p w14:paraId="0018DEA9" w14:textId="77777777" w:rsidR="00107F8C" w:rsidRPr="005459C3" w:rsidRDefault="00107F8C" w:rsidP="008A35FE">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Phyllis Goldfarb, ‘Back to the Future of Clinical Legal Education’ (2012) 32 </w:t>
      </w:r>
      <w:r w:rsidRPr="005459C3">
        <w:rPr>
          <w:rFonts w:ascii="Palatino Linotype" w:hAnsi="Palatino Linotype" w:cs="Arial"/>
          <w:i/>
          <w:iCs/>
          <w:color w:val="000000" w:themeColor="text1"/>
        </w:rPr>
        <w:t xml:space="preserve">Boston College Journal of Law &amp; Social Justice </w:t>
      </w:r>
      <w:r w:rsidRPr="005459C3">
        <w:rPr>
          <w:rFonts w:ascii="Palatino Linotype" w:hAnsi="Palatino Linotype" w:cs="Arial"/>
          <w:color w:val="000000" w:themeColor="text1"/>
        </w:rPr>
        <w:t xml:space="preserve">279, 283. </w:t>
      </w:r>
    </w:p>
  </w:footnote>
  <w:footnote w:id="45">
    <w:p w14:paraId="5522AB5F" w14:textId="52211472" w:rsidR="00107F8C" w:rsidRPr="0042381D" w:rsidRDefault="00107F8C" w:rsidP="008A35FE">
      <w:pPr>
        <w:pStyle w:val="FootnoteText"/>
        <w:ind w:left="142" w:hanging="142"/>
        <w:rPr>
          <w:rFonts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William M Sullivan et al, </w:t>
      </w:r>
      <w:r w:rsidRPr="005459C3">
        <w:rPr>
          <w:rFonts w:ascii="Palatino Linotype" w:hAnsi="Palatino Linotype" w:cs="Arial"/>
          <w:i/>
          <w:color w:val="000000" w:themeColor="text1"/>
        </w:rPr>
        <w:t>Educating Lawyers: Preparation for the Profession of Law: The Carnegie Foundation for the Advancement of Teaching.</w:t>
      </w:r>
      <w:r w:rsidRPr="005459C3">
        <w:rPr>
          <w:rFonts w:ascii="Palatino Linotype" w:hAnsi="Palatino Linotype" w:cs="Arial"/>
          <w:color w:val="000000" w:themeColor="text1"/>
        </w:rPr>
        <w:t xml:space="preserve"> (</w:t>
      </w:r>
      <w:proofErr w:type="spellStart"/>
      <w:r w:rsidRPr="005459C3">
        <w:rPr>
          <w:rFonts w:ascii="Palatino Linotype" w:hAnsi="Palatino Linotype" w:cs="Arial"/>
          <w:color w:val="000000" w:themeColor="text1"/>
        </w:rPr>
        <w:t>Jossey</w:t>
      </w:r>
      <w:proofErr w:type="spellEnd"/>
      <w:r w:rsidRPr="005459C3">
        <w:rPr>
          <w:rFonts w:ascii="Palatino Linotype" w:hAnsi="Palatino Linotype" w:cs="Arial"/>
          <w:color w:val="000000" w:themeColor="text1"/>
        </w:rPr>
        <w:t>-Bass, San Francisco, 1</w:t>
      </w:r>
      <w:r w:rsidRPr="005459C3">
        <w:rPr>
          <w:rFonts w:ascii="Palatino Linotype" w:hAnsi="Palatino Linotype" w:cs="Arial"/>
          <w:color w:val="000000" w:themeColor="text1"/>
          <w:vertAlign w:val="superscript"/>
        </w:rPr>
        <w:t>st</w:t>
      </w:r>
      <w:r w:rsidRPr="005459C3">
        <w:rPr>
          <w:rFonts w:ascii="Palatino Linotype" w:hAnsi="Palatino Linotype" w:cs="Arial"/>
          <w:color w:val="000000" w:themeColor="text1"/>
        </w:rPr>
        <w:t xml:space="preserve"> </w:t>
      </w:r>
      <w:proofErr w:type="spellStart"/>
      <w:r w:rsidRPr="005459C3">
        <w:rPr>
          <w:rFonts w:ascii="Palatino Linotype" w:hAnsi="Palatino Linotype" w:cs="Arial"/>
          <w:color w:val="000000" w:themeColor="text1"/>
        </w:rPr>
        <w:t>ed</w:t>
      </w:r>
      <w:proofErr w:type="spellEnd"/>
      <w:r w:rsidRPr="005459C3">
        <w:rPr>
          <w:rFonts w:ascii="Palatino Linotype" w:hAnsi="Palatino Linotype" w:cs="Arial"/>
          <w:color w:val="000000" w:themeColor="text1"/>
        </w:rPr>
        <w:t>, 2007).</w:t>
      </w:r>
    </w:p>
  </w:footnote>
  <w:footnote w:id="46">
    <w:p w14:paraId="2E153B46" w14:textId="77777777" w:rsidR="00107F8C" w:rsidRPr="005459C3" w:rsidRDefault="00107F8C" w:rsidP="00FF1D5D">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Margaret M Barry, A Rachel Camp, Margaret Ellen Johnson, Catherine F Klein and Lisa V Martin, ‘Teaching Social Justice Lawyering: Systematically including Community Legal Education in Law School Clinics’ (2012) 18 </w:t>
      </w:r>
      <w:r w:rsidRPr="005459C3">
        <w:rPr>
          <w:rFonts w:ascii="Palatino Linotype" w:hAnsi="Palatino Linotype" w:cs="Arial"/>
          <w:i/>
          <w:iCs/>
          <w:color w:val="000000" w:themeColor="text1"/>
        </w:rPr>
        <w:t>Clinical Law Review</w:t>
      </w:r>
      <w:r w:rsidRPr="005459C3">
        <w:rPr>
          <w:rFonts w:ascii="Palatino Linotype" w:hAnsi="Palatino Linotype" w:cs="Arial"/>
          <w:color w:val="000000" w:themeColor="text1"/>
        </w:rPr>
        <w:t xml:space="preserve"> 401, 444.</w:t>
      </w:r>
    </w:p>
  </w:footnote>
  <w:footnote w:id="47">
    <w:p w14:paraId="7F8FB2C9" w14:textId="77777777" w:rsidR="00107F8C" w:rsidRPr="005459C3" w:rsidRDefault="00107F8C" w:rsidP="00FF1D5D">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t>
      </w:r>
      <w:r w:rsidRPr="005459C3">
        <w:rPr>
          <w:rFonts w:ascii="Palatino Linotype" w:hAnsi="Palatino Linotype" w:cs="Arial"/>
          <w:color w:val="000000" w:themeColor="text1"/>
          <w:lang w:val="en-US"/>
        </w:rPr>
        <w:t>Ibid 445.</w:t>
      </w:r>
    </w:p>
  </w:footnote>
  <w:footnote w:id="48">
    <w:p w14:paraId="46CAB85D" w14:textId="77777777" w:rsidR="00107F8C" w:rsidRPr="005459C3" w:rsidRDefault="00107F8C" w:rsidP="00FF1D5D">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Robin S Golden, ‘Collaborative as Client: Lawyering for Effective Change’ (2012) 56 </w:t>
      </w:r>
      <w:r w:rsidRPr="005459C3">
        <w:rPr>
          <w:rFonts w:ascii="Palatino Linotype" w:hAnsi="Palatino Linotype" w:cs="Arial"/>
          <w:i/>
          <w:iCs/>
          <w:color w:val="000000" w:themeColor="text1"/>
        </w:rPr>
        <w:t xml:space="preserve">New York Law School Law Review </w:t>
      </w:r>
      <w:r w:rsidRPr="005459C3">
        <w:rPr>
          <w:rFonts w:ascii="Palatino Linotype" w:hAnsi="Palatino Linotype" w:cs="Arial"/>
          <w:color w:val="000000" w:themeColor="text1"/>
        </w:rPr>
        <w:t>393.</w:t>
      </w:r>
    </w:p>
  </w:footnote>
  <w:footnote w:id="49">
    <w:p w14:paraId="6A0F9EA0" w14:textId="5A1A34C0" w:rsidR="00107F8C" w:rsidRPr="0042381D" w:rsidRDefault="00107F8C" w:rsidP="00FF1D5D">
      <w:pPr>
        <w:pStyle w:val="FootnoteText"/>
        <w:ind w:left="142" w:hanging="142"/>
        <w:rPr>
          <w:rFonts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t>
      </w:r>
      <w:proofErr w:type="spellStart"/>
      <w:r w:rsidRPr="005459C3">
        <w:rPr>
          <w:rFonts w:ascii="Palatino Linotype" w:hAnsi="Palatino Linotype" w:cs="Arial"/>
          <w:color w:val="000000" w:themeColor="text1"/>
          <w:lang w:val="en-US"/>
        </w:rPr>
        <w:t>Tokarz</w:t>
      </w:r>
      <w:proofErr w:type="spellEnd"/>
      <w:r w:rsidRPr="005459C3">
        <w:rPr>
          <w:rFonts w:ascii="Palatino Linotype" w:hAnsi="Palatino Linotype" w:cs="Arial"/>
          <w:color w:val="000000" w:themeColor="text1"/>
          <w:lang w:val="en-US"/>
        </w:rPr>
        <w:t>, above n 33, 380.</w:t>
      </w:r>
    </w:p>
  </w:footnote>
  <w:footnote w:id="50">
    <w:p w14:paraId="7A95765A" w14:textId="0C3D0DBA" w:rsidR="00107F8C" w:rsidRPr="005459C3" w:rsidRDefault="00107F8C">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See for instance: Foster, Richard ‘Multi-Disciplinary Practice in a Community Law Environment: New Models for Clinical Legal Education’ </w:t>
      </w:r>
      <w:r w:rsidRPr="005459C3">
        <w:rPr>
          <w:rFonts w:ascii="Palatino Linotype" w:hAnsi="Palatino Linotype"/>
          <w:iCs/>
        </w:rPr>
        <w:t>(2013)19</w:t>
      </w:r>
      <w:r w:rsidRPr="005459C3">
        <w:rPr>
          <w:rFonts w:ascii="Palatino Linotype" w:hAnsi="Palatino Linotype"/>
          <w:i/>
          <w:iCs/>
        </w:rPr>
        <w:t xml:space="preserve"> Int'l J. Clinical Legal Educ. </w:t>
      </w:r>
      <w:r w:rsidRPr="005459C3">
        <w:rPr>
          <w:rFonts w:ascii="Palatino Linotype" w:hAnsi="Palatino Linotype"/>
          <w:iCs/>
        </w:rPr>
        <w:t>413</w:t>
      </w:r>
      <w:r w:rsidRPr="005459C3">
        <w:rPr>
          <w:rFonts w:ascii="Palatino Linotype" w:hAnsi="Palatino Linotype"/>
          <w:i/>
          <w:iCs/>
        </w:rPr>
        <w:t>.</w:t>
      </w:r>
    </w:p>
  </w:footnote>
  <w:footnote w:id="51">
    <w:p w14:paraId="74454DF8" w14:textId="5F882124" w:rsidR="00107F8C" w:rsidRPr="005459C3" w:rsidRDefault="00107F8C" w:rsidP="00354D76">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Barry </w:t>
      </w:r>
      <w:r w:rsidRPr="005459C3">
        <w:rPr>
          <w:rFonts w:ascii="Palatino Linotype" w:hAnsi="Palatino Linotype" w:cs="Arial"/>
          <w:i/>
          <w:color w:val="000000" w:themeColor="text1"/>
        </w:rPr>
        <w:t>et al</w:t>
      </w:r>
      <w:r w:rsidRPr="005459C3">
        <w:rPr>
          <w:rFonts w:ascii="Palatino Linotype" w:hAnsi="Palatino Linotype" w:cs="Arial"/>
          <w:color w:val="000000" w:themeColor="text1"/>
        </w:rPr>
        <w:t>., above n 49, 406.</w:t>
      </w:r>
    </w:p>
  </w:footnote>
  <w:footnote w:id="52">
    <w:p w14:paraId="21CD07E0" w14:textId="046C5E50" w:rsidR="00107F8C" w:rsidRPr="005459C3" w:rsidRDefault="00107F8C" w:rsidP="00FF1D5D">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Roy Stuckey,</w:t>
      </w:r>
      <w:r w:rsidRPr="005459C3">
        <w:rPr>
          <w:rFonts w:ascii="Palatino Linotype" w:hAnsi="Palatino Linotype" w:cs="Arial"/>
          <w:i/>
          <w:color w:val="000000" w:themeColor="text1"/>
        </w:rPr>
        <w:t xml:space="preserve"> </w:t>
      </w:r>
      <w:r w:rsidRPr="005459C3">
        <w:rPr>
          <w:rFonts w:ascii="Palatino Linotype" w:hAnsi="Palatino Linotype" w:cs="Arial"/>
          <w:i/>
          <w:color w:val="000000" w:themeColor="text1"/>
          <w:lang w:val="en-US"/>
        </w:rPr>
        <w:t>Best Practices for Legal Education: A Vision and A Road Map</w:t>
      </w:r>
      <w:r w:rsidRPr="005459C3">
        <w:rPr>
          <w:rFonts w:ascii="Palatino Linotype" w:hAnsi="Palatino Linotype" w:cs="Arial"/>
          <w:i/>
          <w:color w:val="000000" w:themeColor="text1"/>
        </w:rPr>
        <w:t xml:space="preserve"> </w:t>
      </w:r>
      <w:r w:rsidRPr="005459C3">
        <w:rPr>
          <w:rFonts w:ascii="Palatino Linotype" w:hAnsi="Palatino Linotype" w:cs="Arial"/>
          <w:color w:val="000000" w:themeColor="text1"/>
        </w:rPr>
        <w:t>(2007) &lt;</w:t>
      </w:r>
      <w:hyperlink r:id="rId4" w:history="1">
        <w:hyperlink r:id="rId5" w:history="1">
          <w:r w:rsidRPr="005459C3">
            <w:rPr>
              <w:rFonts w:ascii="Palatino Linotype" w:hAnsi="Palatino Linotype" w:cs="Arial"/>
              <w:lang w:val="en-US"/>
            </w:rPr>
            <w:t>http://cleaweb.org/documents/Best_Practices_For_Legal_Education_7_x_10_pg_10_pt.pdf</w:t>
          </w:r>
        </w:hyperlink>
      </w:hyperlink>
      <w:r w:rsidRPr="005459C3">
        <w:rPr>
          <w:rStyle w:val="Hyperlink"/>
          <w:rFonts w:ascii="Palatino Linotype" w:hAnsi="Palatino Linotype" w:cs="Arial"/>
          <w:color w:val="000000" w:themeColor="text1"/>
          <w:u w:val="none"/>
        </w:rPr>
        <w:t>&gt;.</w:t>
      </w:r>
    </w:p>
  </w:footnote>
  <w:footnote w:id="53">
    <w:p w14:paraId="51B3DBB0" w14:textId="77777777" w:rsidR="00107F8C" w:rsidRPr="0042381D" w:rsidRDefault="00107F8C" w:rsidP="00FF1D5D">
      <w:pPr>
        <w:pStyle w:val="FootnoteText"/>
        <w:ind w:left="142" w:hanging="142"/>
        <w:rPr>
          <w:rFonts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For an in depth discussion of the role of service-learning in the Law School curriculum and the relationship between service-learning and legal clinics see Laurie A Morin and Susan L </w:t>
      </w:r>
      <w:proofErr w:type="spellStart"/>
      <w:r w:rsidRPr="005459C3">
        <w:rPr>
          <w:rFonts w:ascii="Palatino Linotype" w:hAnsi="Palatino Linotype" w:cs="Arial"/>
          <w:color w:val="000000" w:themeColor="text1"/>
        </w:rPr>
        <w:t>Waysdorf</w:t>
      </w:r>
      <w:proofErr w:type="spellEnd"/>
      <w:r w:rsidRPr="005459C3">
        <w:rPr>
          <w:rFonts w:ascii="Palatino Linotype" w:hAnsi="Palatino Linotype" w:cs="Arial"/>
          <w:color w:val="000000" w:themeColor="text1"/>
        </w:rPr>
        <w:t xml:space="preserve"> ‘The Service-Learning Model in the Law School Curriculum’ (2012) 56 </w:t>
      </w:r>
      <w:r w:rsidRPr="005459C3">
        <w:rPr>
          <w:rFonts w:ascii="Palatino Linotype" w:hAnsi="Palatino Linotype" w:cs="Arial"/>
          <w:i/>
          <w:color w:val="000000" w:themeColor="text1"/>
        </w:rPr>
        <w:t xml:space="preserve">N.Y. L. Sch. L Rev </w:t>
      </w:r>
      <w:r w:rsidRPr="005459C3">
        <w:rPr>
          <w:rFonts w:ascii="Palatino Linotype" w:hAnsi="Palatino Linotype" w:cs="Arial"/>
          <w:color w:val="000000" w:themeColor="text1"/>
        </w:rPr>
        <w:t>561, 567.</w:t>
      </w:r>
    </w:p>
  </w:footnote>
  <w:footnote w:id="54">
    <w:p w14:paraId="7BFFDB6E" w14:textId="77777777" w:rsidR="00107F8C" w:rsidRPr="005459C3" w:rsidRDefault="00107F8C" w:rsidP="001D16D8">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R G </w:t>
      </w:r>
      <w:proofErr w:type="spellStart"/>
      <w:r w:rsidRPr="005459C3">
        <w:rPr>
          <w:rFonts w:ascii="Palatino Linotype" w:hAnsi="Palatino Linotype" w:cs="Arial"/>
          <w:color w:val="000000" w:themeColor="text1"/>
        </w:rPr>
        <w:t>Bringle</w:t>
      </w:r>
      <w:proofErr w:type="spellEnd"/>
      <w:r w:rsidRPr="005459C3">
        <w:rPr>
          <w:rFonts w:ascii="Palatino Linotype" w:hAnsi="Palatino Linotype" w:cs="Arial"/>
          <w:color w:val="000000" w:themeColor="text1"/>
        </w:rPr>
        <w:t xml:space="preserve">, J A Hatcher and R </w:t>
      </w:r>
      <w:proofErr w:type="spellStart"/>
      <w:r w:rsidRPr="005459C3">
        <w:rPr>
          <w:rFonts w:ascii="Palatino Linotype" w:hAnsi="Palatino Linotype" w:cs="Arial"/>
          <w:color w:val="000000" w:themeColor="text1"/>
        </w:rPr>
        <w:t>MacIntosh</w:t>
      </w:r>
      <w:proofErr w:type="spellEnd"/>
      <w:r w:rsidRPr="005459C3">
        <w:rPr>
          <w:rFonts w:ascii="Palatino Linotype" w:hAnsi="Palatino Linotype" w:cs="Arial"/>
          <w:color w:val="000000" w:themeColor="text1"/>
        </w:rPr>
        <w:t>, ‘</w:t>
      </w:r>
      <w:proofErr w:type="spellStart"/>
      <w:r w:rsidRPr="005459C3">
        <w:rPr>
          <w:rFonts w:ascii="Palatino Linotype" w:hAnsi="Palatino Linotype" w:cs="Arial"/>
          <w:color w:val="000000" w:themeColor="text1"/>
        </w:rPr>
        <w:t>Analyzing</w:t>
      </w:r>
      <w:proofErr w:type="spellEnd"/>
      <w:r w:rsidRPr="005459C3">
        <w:rPr>
          <w:rFonts w:ascii="Palatino Linotype" w:hAnsi="Palatino Linotype" w:cs="Arial"/>
          <w:color w:val="000000" w:themeColor="text1"/>
        </w:rPr>
        <w:t xml:space="preserve"> Morton‘s typology of service paradigms and integrity’ (2006) 13(1) </w:t>
      </w:r>
      <w:r w:rsidRPr="005459C3">
        <w:rPr>
          <w:rFonts w:ascii="Palatino Linotype" w:hAnsi="Palatino Linotype" w:cs="Arial"/>
          <w:i/>
          <w:iCs/>
          <w:color w:val="000000" w:themeColor="text1"/>
        </w:rPr>
        <w:t>Michigan Journal of Community Service-learning</w:t>
      </w:r>
      <w:r w:rsidRPr="005459C3">
        <w:rPr>
          <w:rFonts w:ascii="Palatino Linotype" w:hAnsi="Palatino Linotype" w:cs="Arial"/>
          <w:color w:val="000000" w:themeColor="text1"/>
        </w:rPr>
        <w:t xml:space="preserve"> 5, 12.</w:t>
      </w:r>
    </w:p>
  </w:footnote>
  <w:footnote w:id="55">
    <w:p w14:paraId="21920BC4" w14:textId="2618A36F" w:rsidR="00107F8C" w:rsidRPr="005459C3" w:rsidRDefault="00107F8C" w:rsidP="001D16D8">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Laurie A Morin and Susan L </w:t>
      </w:r>
      <w:proofErr w:type="spellStart"/>
      <w:r w:rsidRPr="005459C3">
        <w:rPr>
          <w:rFonts w:ascii="Palatino Linotype" w:hAnsi="Palatino Linotype" w:cs="Arial"/>
          <w:color w:val="000000" w:themeColor="text1"/>
        </w:rPr>
        <w:t>Waysdorf</w:t>
      </w:r>
      <w:proofErr w:type="spellEnd"/>
      <w:r w:rsidRPr="005459C3">
        <w:rPr>
          <w:rFonts w:ascii="Palatino Linotype" w:hAnsi="Palatino Linotype" w:cs="Arial"/>
          <w:color w:val="000000" w:themeColor="text1"/>
        </w:rPr>
        <w:t xml:space="preserve">, ‘The Service-Learning Model in the Law School Curriculum’ (2012) 56 </w:t>
      </w:r>
      <w:r w:rsidRPr="005459C3">
        <w:rPr>
          <w:rFonts w:ascii="Palatino Linotype" w:hAnsi="Palatino Linotype" w:cs="Arial"/>
          <w:i/>
          <w:color w:val="000000" w:themeColor="text1"/>
        </w:rPr>
        <w:t xml:space="preserve">N.Y. L. Sch. L Rev </w:t>
      </w:r>
      <w:r w:rsidRPr="005459C3">
        <w:rPr>
          <w:rFonts w:ascii="Palatino Linotype" w:hAnsi="Palatino Linotype" w:cs="Arial"/>
          <w:color w:val="000000" w:themeColor="text1"/>
        </w:rPr>
        <w:t>561, 594.</w:t>
      </w:r>
    </w:p>
  </w:footnote>
  <w:footnote w:id="56">
    <w:p w14:paraId="7ADA1AF7" w14:textId="4C6ADCAF" w:rsidR="00107F8C" w:rsidRDefault="00107F8C">
      <w:pPr>
        <w:pStyle w:val="FootnoteText"/>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cs="Arial"/>
        </w:rPr>
        <w:t>Ibid, 595.</w:t>
      </w:r>
    </w:p>
  </w:footnote>
  <w:footnote w:id="57">
    <w:p w14:paraId="3CDA953E" w14:textId="458B0B0F" w:rsidR="00107F8C" w:rsidRPr="005459C3" w:rsidRDefault="00107F8C">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For analysis of the EDO-QUT partnership see Evan Hamman, Rowena Maguire and Judith McNamara (2014) ‘Pro bono partnerships in environmental law: enhancing outcomes for universities and CLCs’ 39(2) </w:t>
      </w:r>
      <w:r w:rsidRPr="005459C3">
        <w:rPr>
          <w:rFonts w:ascii="Palatino Linotype" w:hAnsi="Palatino Linotype"/>
          <w:i/>
        </w:rPr>
        <w:t>Alternative Law Journal</w:t>
      </w:r>
      <w:r w:rsidRPr="005459C3">
        <w:rPr>
          <w:rFonts w:ascii="Palatino Linotype" w:hAnsi="Palatino Linotype"/>
        </w:rPr>
        <w:t xml:space="preserve"> 115-119.</w:t>
      </w:r>
    </w:p>
  </w:footnote>
  <w:footnote w:id="58">
    <w:p w14:paraId="56E3306D" w14:textId="4AE9A863" w:rsidR="00107F8C" w:rsidRDefault="00107F8C">
      <w:pPr>
        <w:pStyle w:val="FootnoteText"/>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cs="Arial"/>
          <w:color w:val="000000" w:themeColor="text1"/>
        </w:rPr>
        <w:t xml:space="preserve">Morin and </w:t>
      </w:r>
      <w:proofErr w:type="spellStart"/>
      <w:r w:rsidRPr="005459C3">
        <w:rPr>
          <w:rFonts w:ascii="Palatino Linotype" w:hAnsi="Palatino Linotype" w:cs="Arial"/>
          <w:color w:val="000000" w:themeColor="text1"/>
        </w:rPr>
        <w:t>Waysdorf</w:t>
      </w:r>
      <w:proofErr w:type="spellEnd"/>
      <w:r w:rsidRPr="005459C3">
        <w:rPr>
          <w:rFonts w:ascii="Palatino Linotype" w:hAnsi="Palatino Linotype" w:cs="Arial"/>
          <w:color w:val="000000" w:themeColor="text1"/>
        </w:rPr>
        <w:t>, above n 58, 565.</w:t>
      </w:r>
    </w:p>
  </w:footnote>
  <w:footnote w:id="59">
    <w:p w14:paraId="1C4981D9" w14:textId="4380850B" w:rsidR="00107F8C" w:rsidRPr="005459C3" w:rsidRDefault="00107F8C" w:rsidP="006D158E">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E T </w:t>
      </w:r>
      <w:proofErr w:type="spellStart"/>
      <w:r w:rsidRPr="005459C3">
        <w:rPr>
          <w:rFonts w:ascii="Palatino Linotype" w:hAnsi="Palatino Linotype" w:cs="Arial"/>
          <w:color w:val="000000" w:themeColor="text1"/>
          <w:lang w:val="en-US"/>
        </w:rPr>
        <w:t>Pascarella</w:t>
      </w:r>
      <w:proofErr w:type="spellEnd"/>
      <w:r w:rsidRPr="005459C3">
        <w:rPr>
          <w:rFonts w:ascii="Palatino Linotype" w:hAnsi="Palatino Linotype" w:cs="Arial"/>
          <w:color w:val="000000" w:themeColor="text1"/>
          <w:lang w:val="en-US"/>
        </w:rPr>
        <w:t xml:space="preserve"> and P T </w:t>
      </w:r>
      <w:proofErr w:type="spellStart"/>
      <w:r w:rsidRPr="005459C3">
        <w:rPr>
          <w:rFonts w:ascii="Palatino Linotype" w:hAnsi="Palatino Linotype" w:cs="Arial"/>
          <w:color w:val="000000" w:themeColor="text1"/>
          <w:lang w:val="en-US"/>
        </w:rPr>
        <w:t>Terenzini</w:t>
      </w:r>
      <w:proofErr w:type="spellEnd"/>
      <w:r w:rsidRPr="005459C3">
        <w:rPr>
          <w:rFonts w:ascii="Palatino Linotype" w:hAnsi="Palatino Linotype" w:cs="Arial"/>
          <w:color w:val="000000" w:themeColor="text1"/>
          <w:lang w:val="en-US"/>
        </w:rPr>
        <w:t xml:space="preserve">, </w:t>
      </w:r>
      <w:r w:rsidRPr="005459C3">
        <w:rPr>
          <w:rFonts w:ascii="Palatino Linotype" w:hAnsi="Palatino Linotype" w:cs="Arial"/>
          <w:i/>
          <w:iCs/>
          <w:color w:val="000000" w:themeColor="text1"/>
          <w:lang w:val="en-US"/>
        </w:rPr>
        <w:t>How college affects students: A third decade of research</w:t>
      </w:r>
      <w:r w:rsidRPr="005459C3">
        <w:rPr>
          <w:rFonts w:ascii="Palatino Linotype" w:hAnsi="Palatino Linotype" w:cs="Arial"/>
          <w:iCs/>
          <w:color w:val="000000" w:themeColor="text1"/>
          <w:lang w:val="en-US"/>
        </w:rPr>
        <w:t>. (</w:t>
      </w:r>
      <w:proofErr w:type="spellStart"/>
      <w:r w:rsidRPr="005459C3">
        <w:rPr>
          <w:rFonts w:ascii="Palatino Linotype" w:hAnsi="Palatino Linotype" w:cs="Arial"/>
          <w:iCs/>
          <w:color w:val="000000" w:themeColor="text1"/>
          <w:lang w:val="en-US"/>
        </w:rPr>
        <w:t>Jossey</w:t>
      </w:r>
      <w:proofErr w:type="spellEnd"/>
      <w:r w:rsidRPr="005459C3">
        <w:rPr>
          <w:rFonts w:ascii="Palatino Linotype" w:hAnsi="Palatino Linotype" w:cs="Arial"/>
          <w:iCs/>
          <w:color w:val="000000" w:themeColor="text1"/>
          <w:lang w:val="en-US"/>
        </w:rPr>
        <w:t>-Bass,</w:t>
      </w:r>
      <w:r w:rsidRPr="005459C3">
        <w:rPr>
          <w:rFonts w:ascii="Palatino Linotype" w:hAnsi="Palatino Linotype" w:cs="Arial"/>
          <w:color w:val="000000" w:themeColor="text1"/>
          <w:lang w:val="en-US"/>
        </w:rPr>
        <w:t xml:space="preserve"> San Francisco, 2005).</w:t>
      </w:r>
    </w:p>
  </w:footnote>
  <w:footnote w:id="60">
    <w:p w14:paraId="4B072F15" w14:textId="347CD568" w:rsidR="00107F8C" w:rsidRPr="005459C3" w:rsidRDefault="00107F8C" w:rsidP="006D158E">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t>
      </w:r>
      <w:proofErr w:type="spellStart"/>
      <w:r w:rsidRPr="005459C3">
        <w:rPr>
          <w:rFonts w:ascii="Palatino Linotype" w:hAnsi="Palatino Linotype" w:cs="Arial"/>
          <w:color w:val="000000" w:themeColor="text1"/>
        </w:rPr>
        <w:t>Bringle</w:t>
      </w:r>
      <w:proofErr w:type="spellEnd"/>
      <w:r w:rsidRPr="005459C3">
        <w:rPr>
          <w:rFonts w:ascii="Palatino Linotype" w:hAnsi="Palatino Linotype" w:cs="Arial"/>
          <w:color w:val="000000" w:themeColor="text1"/>
        </w:rPr>
        <w:t>, above n 51, 112.</w:t>
      </w:r>
    </w:p>
  </w:footnote>
  <w:footnote w:id="61">
    <w:p w14:paraId="6DA61CE1" w14:textId="77777777" w:rsidR="00107F8C" w:rsidRPr="005459C3" w:rsidRDefault="00107F8C" w:rsidP="0077201E">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Jeffrey Giddings, ‘Contemplating the Future of Clinical Legal Education’ (2008) 17(1) </w:t>
      </w:r>
      <w:r w:rsidRPr="005459C3">
        <w:rPr>
          <w:rFonts w:ascii="Palatino Linotype" w:hAnsi="Palatino Linotype" w:cs="Arial"/>
          <w:i/>
          <w:iCs/>
          <w:color w:val="000000" w:themeColor="text1"/>
        </w:rPr>
        <w:t>Griffith Law Review</w:t>
      </w:r>
      <w:r w:rsidRPr="005459C3">
        <w:rPr>
          <w:rFonts w:ascii="Palatino Linotype" w:hAnsi="Palatino Linotype" w:cs="Arial"/>
          <w:color w:val="000000" w:themeColor="text1"/>
        </w:rPr>
        <w:t xml:space="preserve"> 1.</w:t>
      </w:r>
    </w:p>
  </w:footnote>
  <w:footnote w:id="62">
    <w:p w14:paraId="18AEE54B" w14:textId="05F30C15" w:rsidR="00107F8C" w:rsidRPr="0042381D" w:rsidRDefault="00107F8C" w:rsidP="0077201E">
      <w:pPr>
        <w:pStyle w:val="FootnoteText"/>
        <w:ind w:left="142" w:hanging="142"/>
        <w:rPr>
          <w:rFonts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t>
      </w:r>
      <w:r w:rsidRPr="005459C3">
        <w:rPr>
          <w:rFonts w:ascii="Palatino Linotype" w:hAnsi="Palatino Linotype" w:cs="Arial"/>
          <w:color w:val="000000" w:themeColor="text1"/>
          <w:lang w:val="en-US"/>
        </w:rPr>
        <w:t>Ibid, 5.</w:t>
      </w:r>
    </w:p>
  </w:footnote>
  <w:footnote w:id="63">
    <w:p w14:paraId="089F23F9" w14:textId="77777777" w:rsidR="00107F8C" w:rsidRPr="005459C3" w:rsidRDefault="00107F8C" w:rsidP="00C77087">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James </w:t>
      </w:r>
      <w:proofErr w:type="spellStart"/>
      <w:r w:rsidRPr="005459C3">
        <w:rPr>
          <w:rFonts w:ascii="Palatino Linotype" w:hAnsi="Palatino Linotype" w:cs="Arial"/>
          <w:color w:val="000000" w:themeColor="text1"/>
        </w:rPr>
        <w:t>Backman</w:t>
      </w:r>
      <w:proofErr w:type="spellEnd"/>
      <w:r w:rsidRPr="005459C3">
        <w:rPr>
          <w:rFonts w:ascii="Palatino Linotype" w:hAnsi="Palatino Linotype" w:cs="Arial"/>
          <w:color w:val="000000" w:themeColor="text1"/>
        </w:rPr>
        <w:t xml:space="preserve">, </w:t>
      </w:r>
      <w:r w:rsidRPr="005459C3">
        <w:rPr>
          <w:rFonts w:ascii="Palatino Linotype" w:hAnsi="Palatino Linotype" w:cs="Arial"/>
          <w:color w:val="000000" w:themeColor="text1"/>
          <w:lang w:val="en-US"/>
        </w:rPr>
        <w:t>‘</w:t>
      </w:r>
      <w:r w:rsidRPr="005459C3">
        <w:rPr>
          <w:rFonts w:ascii="Palatino Linotype" w:hAnsi="Palatino Linotype" w:cs="Arial"/>
          <w:bCs/>
          <w:color w:val="000000" w:themeColor="text1"/>
        </w:rPr>
        <w:t>Law Schools, Law Students, Civic Engagement, and Community-Based Research as Resources for Improving Access to Justice in Utah</w:t>
      </w:r>
      <w:r w:rsidRPr="005459C3">
        <w:rPr>
          <w:rFonts w:ascii="Palatino Linotype" w:hAnsi="Palatino Linotype" w:cs="Arial"/>
          <w:color w:val="000000" w:themeColor="text1"/>
          <w:lang w:val="en-US"/>
        </w:rPr>
        <w:t xml:space="preserve">’ (2006) 4 </w:t>
      </w:r>
      <w:r w:rsidRPr="005459C3">
        <w:rPr>
          <w:rFonts w:ascii="Palatino Linotype" w:hAnsi="Palatino Linotype" w:cs="Arial"/>
          <w:i/>
          <w:color w:val="000000" w:themeColor="text1"/>
          <w:lang w:val="en-US"/>
        </w:rPr>
        <w:t xml:space="preserve">Utah Law Review </w:t>
      </w:r>
      <w:r w:rsidRPr="005459C3">
        <w:rPr>
          <w:rFonts w:ascii="Palatino Linotype" w:hAnsi="Palatino Linotype" w:cs="Arial"/>
          <w:color w:val="000000" w:themeColor="text1"/>
          <w:lang w:val="en-US"/>
        </w:rPr>
        <w:t>953.</w:t>
      </w:r>
    </w:p>
  </w:footnote>
  <w:footnote w:id="64">
    <w:p w14:paraId="5C33C3FF" w14:textId="7673BE3A" w:rsidR="00107F8C" w:rsidRPr="005459C3" w:rsidRDefault="00107F8C">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See </w:t>
      </w:r>
      <w:r w:rsidRPr="005459C3">
        <w:rPr>
          <w:rFonts w:ascii="Palatino Linotype" w:hAnsi="Palatino Linotype" w:cs="Arial"/>
          <w:color w:val="000000" w:themeColor="text1"/>
        </w:rPr>
        <w:t xml:space="preserve">Barry </w:t>
      </w:r>
      <w:r w:rsidRPr="005459C3">
        <w:rPr>
          <w:rFonts w:ascii="Palatino Linotype" w:hAnsi="Palatino Linotype" w:cs="Arial"/>
          <w:i/>
          <w:color w:val="000000" w:themeColor="text1"/>
        </w:rPr>
        <w:t>et al</w:t>
      </w:r>
      <w:r w:rsidRPr="005459C3">
        <w:rPr>
          <w:rFonts w:ascii="Palatino Linotype" w:hAnsi="Palatino Linotype" w:cs="Arial"/>
          <w:color w:val="000000" w:themeColor="text1"/>
        </w:rPr>
        <w:t>., above n 49, 404 for examples.</w:t>
      </w:r>
    </w:p>
  </w:footnote>
  <w:footnote w:id="65">
    <w:p w14:paraId="48F304D9" w14:textId="43A7DD79" w:rsidR="00107F8C" w:rsidRDefault="00107F8C">
      <w:pPr>
        <w:pStyle w:val="FootnoteText"/>
      </w:pPr>
      <w:r w:rsidRPr="005459C3">
        <w:rPr>
          <w:rStyle w:val="FootnoteReference"/>
          <w:rFonts w:ascii="Palatino Linotype" w:hAnsi="Palatino Linotype"/>
        </w:rPr>
        <w:footnoteRef/>
      </w:r>
      <w:r w:rsidRPr="005459C3">
        <w:rPr>
          <w:rFonts w:ascii="Palatino Linotype" w:hAnsi="Palatino Linotype"/>
        </w:rPr>
        <w:t xml:space="preserve"> Motivation to hold the forums was in part due to the requirement of the Council of Australian Law Deans (CALD) that law schools should seek to engage with the community through programs such as legal clinics, law reform projects, public education, and other forms of pro bono service. See Council of Australian Law Deans, </w:t>
      </w:r>
      <w:r w:rsidRPr="005459C3">
        <w:rPr>
          <w:rFonts w:ascii="Palatino Linotype" w:hAnsi="Palatino Linotype"/>
          <w:i/>
        </w:rPr>
        <w:t>The CALD Standards for Australian Law Schools</w:t>
      </w:r>
      <w:r w:rsidRPr="005459C3">
        <w:rPr>
          <w:rFonts w:ascii="Palatino Linotype" w:hAnsi="Palatino Linotype"/>
        </w:rPr>
        <w:t>, (adopted 17 November 2009), 9.6.2. &lt;http://www.cald.asn.au/resources&gt;</w:t>
      </w:r>
      <w:r>
        <w:t xml:space="preserve"> </w:t>
      </w:r>
    </w:p>
  </w:footnote>
  <w:footnote w:id="66">
    <w:p w14:paraId="2E0DD24C" w14:textId="7E875912" w:rsidR="00107F8C" w:rsidRPr="005459C3" w:rsidRDefault="00107F8C" w:rsidP="00FF1D5D">
      <w:pPr>
        <w:pStyle w:val="FootnoteText"/>
        <w:ind w:left="142" w:hanging="142"/>
        <w:rPr>
          <w:rFonts w:ascii="Palatino Linotype" w:hAnsi="Palatino Linotype" w:cs="Arial"/>
          <w:color w:val="000000" w:themeColor="text1"/>
          <w:lang w:val="en-US"/>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Morin and </w:t>
      </w:r>
      <w:proofErr w:type="spellStart"/>
      <w:r w:rsidRPr="005459C3">
        <w:rPr>
          <w:rFonts w:ascii="Palatino Linotype" w:hAnsi="Palatino Linotype" w:cs="Arial"/>
          <w:color w:val="000000" w:themeColor="text1"/>
        </w:rPr>
        <w:t>Waysdorf</w:t>
      </w:r>
      <w:proofErr w:type="spellEnd"/>
      <w:r w:rsidRPr="005459C3">
        <w:rPr>
          <w:rFonts w:ascii="Palatino Linotype" w:hAnsi="Palatino Linotype" w:cs="Arial"/>
          <w:color w:val="000000" w:themeColor="text1"/>
        </w:rPr>
        <w:t>, above n 58</w:t>
      </w:r>
      <w:r w:rsidRPr="005459C3">
        <w:rPr>
          <w:rFonts w:ascii="Palatino Linotype" w:hAnsi="Palatino Linotype" w:cs="Arial"/>
          <w:color w:val="000000" w:themeColor="text1"/>
          <w:lang w:val="en-US"/>
        </w:rPr>
        <w:t>.</w:t>
      </w:r>
    </w:p>
  </w:footnote>
  <w:footnote w:id="67">
    <w:p w14:paraId="634982CD" w14:textId="77777777" w:rsidR="00107F8C" w:rsidRPr="0042381D" w:rsidRDefault="00107F8C">
      <w:pPr>
        <w:pStyle w:val="FootnoteText"/>
        <w:rPr>
          <w:rFonts w:cs="Arial"/>
          <w:lang w:val="en-US"/>
        </w:rPr>
      </w:pPr>
      <w:r w:rsidRPr="005459C3">
        <w:rPr>
          <w:rStyle w:val="FootnoteReference"/>
          <w:rFonts w:ascii="Palatino Linotype" w:hAnsi="Palatino Linotype" w:cs="Arial"/>
        </w:rPr>
        <w:footnoteRef/>
      </w:r>
      <w:r w:rsidRPr="005459C3">
        <w:rPr>
          <w:rFonts w:ascii="Palatino Linotype" w:hAnsi="Palatino Linotype" w:cs="Arial"/>
        </w:rPr>
        <w:t xml:space="preserve"> </w:t>
      </w:r>
      <w:r w:rsidRPr="005459C3">
        <w:rPr>
          <w:rFonts w:ascii="Palatino Linotype" w:hAnsi="Palatino Linotype" w:cs="Arial"/>
          <w:color w:val="000000" w:themeColor="text1"/>
          <w:lang w:val="en-US"/>
        </w:rPr>
        <w:t>Ibid, 593.</w:t>
      </w:r>
      <w:r w:rsidRPr="0042381D">
        <w:rPr>
          <w:rFonts w:cs="Arial"/>
          <w:color w:val="000000" w:themeColor="text1"/>
          <w:lang w:val="en-US"/>
        </w:rPr>
        <w:t xml:space="preserve"> </w:t>
      </w:r>
    </w:p>
  </w:footnote>
  <w:footnote w:id="68">
    <w:p w14:paraId="162BE078" w14:textId="77777777" w:rsidR="00107F8C" w:rsidRPr="005459C3" w:rsidRDefault="00107F8C" w:rsidP="00403A81">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Spencer Rand, ‘Teaching Law Students to Practice Social Justice: An Interdisciplinary Search for Help through Social Work's Empowerment Approach’ (2006) 13 </w:t>
      </w:r>
      <w:r w:rsidRPr="005459C3">
        <w:rPr>
          <w:rFonts w:ascii="Palatino Linotype" w:hAnsi="Palatino Linotype" w:cs="Arial"/>
          <w:i/>
          <w:iCs/>
          <w:color w:val="000000" w:themeColor="text1"/>
        </w:rPr>
        <w:t xml:space="preserve">Clinical Law Review </w:t>
      </w:r>
      <w:r w:rsidRPr="005459C3">
        <w:rPr>
          <w:rFonts w:ascii="Palatino Linotype" w:hAnsi="Palatino Linotype" w:cs="Arial"/>
          <w:color w:val="000000" w:themeColor="text1"/>
        </w:rPr>
        <w:t xml:space="preserve">459. </w:t>
      </w:r>
    </w:p>
  </w:footnote>
  <w:footnote w:id="69">
    <w:p w14:paraId="2C4F27F2" w14:textId="29710A24" w:rsidR="00107F8C" w:rsidRPr="005459C3" w:rsidRDefault="00107F8C">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The community projects which have been undertaken in the subject include research for a handbook on mining law for the Queensland Environmental Defender’s Office, Queensland (EDO Qld), research for the Refugee and Immigration Legal Service (RAILS) in relation to the impact of a High Court decision on refugees and family reunion applications, a community health project with the Legal Services unit at the Royal Brisbane and Women’s Hospital on the use of Advanced Health Directives, a website and DVD on tenancy issues for </w:t>
      </w:r>
      <w:proofErr w:type="spellStart"/>
      <w:r w:rsidRPr="005459C3">
        <w:rPr>
          <w:rFonts w:ascii="Palatino Linotype" w:hAnsi="Palatino Linotype"/>
        </w:rPr>
        <w:t>Kyabra</w:t>
      </w:r>
      <w:proofErr w:type="spellEnd"/>
      <w:r w:rsidRPr="005459C3">
        <w:rPr>
          <w:rFonts w:ascii="Palatino Linotype" w:hAnsi="Palatino Linotype"/>
        </w:rPr>
        <w:t xml:space="preserve"> Community Association which assists people at risk of homelessness, and preparation of a report on privatisation of prisons for the Catholic Prisons Ministry.</w:t>
      </w:r>
    </w:p>
  </w:footnote>
  <w:footnote w:id="70">
    <w:p w14:paraId="73BC4C46" w14:textId="17DD036E" w:rsidR="00107F8C" w:rsidRPr="0042381D" w:rsidRDefault="00107F8C" w:rsidP="009D53B1">
      <w:pPr>
        <w:pStyle w:val="FootnoteText"/>
        <w:rPr>
          <w:rFonts w:cs="Arial"/>
          <w:lang w:val="en-US"/>
        </w:rPr>
      </w:pPr>
      <w:r w:rsidRPr="005459C3">
        <w:rPr>
          <w:rStyle w:val="FootnoteReference"/>
          <w:rFonts w:ascii="Palatino Linotype" w:hAnsi="Palatino Linotype" w:cs="Arial"/>
        </w:rPr>
        <w:footnoteRef/>
      </w:r>
      <w:r w:rsidRPr="005459C3">
        <w:rPr>
          <w:rFonts w:ascii="Palatino Linotype" w:hAnsi="Palatino Linotype" w:cs="Arial"/>
        </w:rPr>
        <w:t xml:space="preserve"> </w:t>
      </w:r>
      <w:proofErr w:type="spellStart"/>
      <w:r w:rsidRPr="005459C3">
        <w:rPr>
          <w:rFonts w:ascii="Palatino Linotype" w:hAnsi="Palatino Linotype" w:cs="Arial"/>
          <w:lang w:val="en-US"/>
        </w:rPr>
        <w:t>Backman</w:t>
      </w:r>
      <w:proofErr w:type="spellEnd"/>
      <w:r w:rsidRPr="005459C3">
        <w:rPr>
          <w:rFonts w:ascii="Palatino Linotype" w:hAnsi="Palatino Linotype" w:cs="Arial"/>
          <w:lang w:val="en-US"/>
        </w:rPr>
        <w:t>, above n 66, 954.</w:t>
      </w:r>
    </w:p>
  </w:footnote>
  <w:footnote w:id="71">
    <w:p w14:paraId="19C6FFB6" w14:textId="77777777" w:rsidR="00107F8C" w:rsidRPr="005459C3" w:rsidRDefault="00107F8C" w:rsidP="00B56137">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F McLeay, ‘Pro bono lawyering in the 21st century’ (2001) 19 </w:t>
      </w:r>
      <w:r w:rsidRPr="005459C3">
        <w:rPr>
          <w:rFonts w:ascii="Palatino Linotype" w:hAnsi="Palatino Linotype" w:cs="Arial"/>
          <w:i/>
          <w:iCs/>
          <w:color w:val="000000" w:themeColor="text1"/>
        </w:rPr>
        <w:t xml:space="preserve">Law In Context </w:t>
      </w:r>
      <w:r w:rsidRPr="005459C3">
        <w:rPr>
          <w:rFonts w:ascii="Palatino Linotype" w:hAnsi="Palatino Linotype" w:cs="Arial"/>
          <w:iCs/>
          <w:color w:val="000000" w:themeColor="text1"/>
        </w:rPr>
        <w:t>1</w:t>
      </w:r>
      <w:r w:rsidRPr="005459C3">
        <w:rPr>
          <w:rFonts w:ascii="Palatino Linotype" w:hAnsi="Palatino Linotype" w:cs="Arial"/>
          <w:color w:val="000000" w:themeColor="text1"/>
        </w:rPr>
        <w:t>6.</w:t>
      </w:r>
    </w:p>
  </w:footnote>
  <w:footnote w:id="72">
    <w:p w14:paraId="024C9A59" w14:textId="26DB71BA" w:rsidR="00107F8C" w:rsidRPr="00B772F5" w:rsidRDefault="00107F8C">
      <w:pPr>
        <w:pStyle w:val="FootnoteText"/>
      </w:pPr>
      <w:r w:rsidRPr="005459C3">
        <w:rPr>
          <w:rStyle w:val="FootnoteReference"/>
          <w:rFonts w:ascii="Palatino Linotype" w:hAnsi="Palatino Linotype"/>
        </w:rPr>
        <w:footnoteRef/>
      </w:r>
      <w:r w:rsidRPr="005459C3">
        <w:rPr>
          <w:rFonts w:ascii="Palatino Linotype" w:hAnsi="Palatino Linotype"/>
        </w:rPr>
        <w:t xml:space="preserve"> Morin and </w:t>
      </w:r>
      <w:proofErr w:type="spellStart"/>
      <w:r w:rsidRPr="005459C3">
        <w:rPr>
          <w:rFonts w:ascii="Palatino Linotype" w:hAnsi="Palatino Linotype"/>
        </w:rPr>
        <w:t>Waysdorf</w:t>
      </w:r>
      <w:proofErr w:type="spellEnd"/>
      <w:r w:rsidRPr="005459C3">
        <w:rPr>
          <w:rFonts w:ascii="Palatino Linotype" w:hAnsi="Palatino Linotype"/>
        </w:rPr>
        <w:t>, above n 58.</w:t>
      </w:r>
      <w:r>
        <w:t xml:space="preserve"> </w:t>
      </w:r>
    </w:p>
  </w:footnote>
  <w:footnote w:id="73">
    <w:p w14:paraId="4FCA08C5" w14:textId="4BA6AF8E" w:rsidR="00107F8C" w:rsidRPr="005459C3" w:rsidRDefault="00107F8C" w:rsidP="00FF1D5D">
      <w:pPr>
        <w:pStyle w:val="FootnoteText"/>
        <w:ind w:left="142" w:hanging="142"/>
        <w:rPr>
          <w:rFonts w:ascii="Palatino Linotype" w:hAnsi="Palatino Linotype" w:cs="Arial"/>
          <w:i/>
          <w:iCs/>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S Carrington and G </w:t>
      </w:r>
      <w:proofErr w:type="spellStart"/>
      <w:r w:rsidRPr="005459C3">
        <w:rPr>
          <w:rFonts w:ascii="Palatino Linotype" w:hAnsi="Palatino Linotype" w:cs="Arial"/>
          <w:color w:val="000000" w:themeColor="text1"/>
        </w:rPr>
        <w:t>Selva</w:t>
      </w:r>
      <w:proofErr w:type="spellEnd"/>
      <w:r w:rsidRPr="005459C3">
        <w:rPr>
          <w:rFonts w:ascii="Palatino Linotype" w:hAnsi="Palatino Linotype" w:cs="Arial"/>
          <w:color w:val="000000" w:themeColor="text1"/>
        </w:rPr>
        <w:t xml:space="preserve">, ‘Critical social theory and transformative learning: Evidence in pre-service teachers’ service-learning reflection logs’ (2010) 29 </w:t>
      </w:r>
      <w:r w:rsidRPr="005459C3">
        <w:rPr>
          <w:rFonts w:ascii="Palatino Linotype" w:hAnsi="Palatino Linotype" w:cs="Arial"/>
          <w:i/>
          <w:iCs/>
          <w:color w:val="000000" w:themeColor="text1"/>
        </w:rPr>
        <w:t xml:space="preserve">Higher Education Research &amp; Development </w:t>
      </w:r>
      <w:r w:rsidRPr="005459C3">
        <w:rPr>
          <w:rFonts w:ascii="Palatino Linotype" w:hAnsi="Palatino Linotype" w:cs="Arial"/>
          <w:iCs/>
          <w:color w:val="000000" w:themeColor="text1"/>
        </w:rPr>
        <w:t xml:space="preserve">45. </w:t>
      </w:r>
      <w:r w:rsidRPr="005459C3">
        <w:rPr>
          <w:rFonts w:ascii="Palatino Linotype" w:hAnsi="Palatino Linotype" w:cs="Arial"/>
          <w:i/>
          <w:iCs/>
          <w:color w:val="000000" w:themeColor="text1"/>
        </w:rPr>
        <w:t xml:space="preserve"> </w:t>
      </w:r>
      <w:r w:rsidRPr="005459C3">
        <w:rPr>
          <w:rFonts w:ascii="Palatino Linotype" w:hAnsi="Palatino Linotype" w:cs="Arial"/>
          <w:color w:val="000000" w:themeColor="text1"/>
        </w:rPr>
        <w:t xml:space="preserve">The 4R’s model of reflection was further developed by the Australian Learning and Teaching Council funded DRAW project.  Further information in relation to the model and teaching resources see Queensland University of Technology, </w:t>
      </w:r>
      <w:r w:rsidRPr="005459C3">
        <w:rPr>
          <w:rFonts w:ascii="Palatino Linotype" w:hAnsi="Palatino Linotype" w:cs="Arial"/>
          <w:i/>
          <w:color w:val="000000" w:themeColor="text1"/>
        </w:rPr>
        <w:t xml:space="preserve">Developing Reflective Approaches to Writing </w:t>
      </w:r>
      <w:r w:rsidRPr="005459C3">
        <w:rPr>
          <w:rFonts w:ascii="Palatino Linotype" w:hAnsi="Palatino Linotype" w:cs="Arial"/>
          <w:color w:val="000000" w:themeColor="text1"/>
        </w:rPr>
        <w:t>(2011) &lt;</w:t>
      </w:r>
      <w:hyperlink r:id="rId6" w:history="1">
        <w:r w:rsidRPr="005459C3">
          <w:rPr>
            <w:rStyle w:val="Hyperlink"/>
            <w:rFonts w:ascii="Palatino Linotype" w:hAnsi="Palatino Linotype" w:cs="Arial"/>
          </w:rPr>
          <w:t>https://wiki.qut.edu.au/display/draw/Home</w:t>
        </w:r>
      </w:hyperlink>
      <w:r w:rsidRPr="005459C3">
        <w:rPr>
          <w:rStyle w:val="Hyperlink"/>
          <w:rFonts w:ascii="Palatino Linotype" w:hAnsi="Palatino Linotype" w:cs="Arial"/>
          <w:color w:val="000000" w:themeColor="text1"/>
          <w:u w:val="none"/>
        </w:rPr>
        <w:t>&gt;</w:t>
      </w:r>
      <w:r w:rsidRPr="005459C3">
        <w:rPr>
          <w:rFonts w:ascii="Palatino Linotype" w:hAnsi="Palatino Linotype" w:cs="Arial"/>
          <w:color w:val="000000" w:themeColor="text1"/>
        </w:rPr>
        <w:t>.</w:t>
      </w:r>
    </w:p>
  </w:footnote>
  <w:footnote w:id="74">
    <w:p w14:paraId="0A59BB7E" w14:textId="77777777" w:rsidR="00107F8C" w:rsidRPr="005459C3" w:rsidRDefault="00107F8C" w:rsidP="00FF1D5D">
      <w:pPr>
        <w:pStyle w:val="FootnoteText"/>
        <w:ind w:left="142" w:hanging="142"/>
        <w:rPr>
          <w:rFonts w:ascii="Palatino Linotype" w:hAnsi="Palatino Linotype" w:cs="Arial"/>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w:t>
      </w:r>
      <w:r w:rsidRPr="005459C3">
        <w:rPr>
          <w:rFonts w:ascii="Palatino Linotype" w:hAnsi="Palatino Linotype" w:cs="Arial"/>
          <w:color w:val="000000" w:themeColor="text1"/>
          <w:lang w:val="en-US"/>
        </w:rPr>
        <w:t>J D Bain</w:t>
      </w:r>
      <w:r w:rsidRPr="005459C3">
        <w:rPr>
          <w:rFonts w:ascii="Palatino Linotype" w:hAnsi="Palatino Linotype" w:cs="Arial"/>
          <w:color w:val="000000" w:themeColor="text1"/>
        </w:rPr>
        <w:t xml:space="preserve">, R </w:t>
      </w:r>
      <w:proofErr w:type="spellStart"/>
      <w:r w:rsidRPr="005459C3">
        <w:rPr>
          <w:rFonts w:ascii="Palatino Linotype" w:hAnsi="Palatino Linotype" w:cs="Arial"/>
          <w:color w:val="000000" w:themeColor="text1"/>
        </w:rPr>
        <w:t>Ballantyne</w:t>
      </w:r>
      <w:proofErr w:type="spellEnd"/>
      <w:r w:rsidRPr="005459C3">
        <w:rPr>
          <w:rFonts w:ascii="Palatino Linotype" w:hAnsi="Palatino Linotype" w:cs="Arial"/>
          <w:color w:val="000000" w:themeColor="text1"/>
        </w:rPr>
        <w:t xml:space="preserve">, C. Mills and N C Lester, </w:t>
      </w:r>
      <w:r w:rsidRPr="005459C3">
        <w:rPr>
          <w:rFonts w:ascii="Palatino Linotype" w:hAnsi="Palatino Linotype" w:cs="Arial"/>
          <w:i/>
          <w:iCs/>
          <w:color w:val="000000" w:themeColor="text1"/>
        </w:rPr>
        <w:t>Reflecting on practice: Student teachers’ perspectives</w:t>
      </w:r>
      <w:r w:rsidRPr="005459C3">
        <w:rPr>
          <w:rFonts w:ascii="Palatino Linotype" w:hAnsi="Palatino Linotype" w:cs="Arial"/>
          <w:color w:val="000000" w:themeColor="text1"/>
        </w:rPr>
        <w:t xml:space="preserve"> (Post Pressed, </w:t>
      </w:r>
      <w:proofErr w:type="spellStart"/>
      <w:r w:rsidRPr="005459C3">
        <w:rPr>
          <w:rFonts w:ascii="Palatino Linotype" w:hAnsi="Palatino Linotype" w:cs="Arial"/>
          <w:color w:val="000000" w:themeColor="text1"/>
        </w:rPr>
        <w:t>Flaxton</w:t>
      </w:r>
      <w:proofErr w:type="spellEnd"/>
      <w:r w:rsidRPr="005459C3">
        <w:rPr>
          <w:rFonts w:ascii="Palatino Linotype" w:hAnsi="Palatino Linotype" w:cs="Arial"/>
          <w:color w:val="000000" w:themeColor="text1"/>
        </w:rPr>
        <w:t>, 2002).</w:t>
      </w:r>
    </w:p>
  </w:footnote>
  <w:footnote w:id="75">
    <w:p w14:paraId="15D61B80" w14:textId="54A9C343" w:rsidR="00107F8C" w:rsidRPr="005459C3" w:rsidRDefault="00107F8C">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Feminist scholar Peggy McIntosh argues that white [male] privilege is carried around with us “like an invisible weightless backpack of special provisions, maps, passports, codebooks, visas, clothes, tools and blank checks.” See: McIntosh, Peggy. "White privilege: Unpacking the invisible knapsack." (1988): 31-36 &lt;</w:t>
      </w:r>
      <w:hyperlink r:id="rId7" w:history="1">
        <w:r w:rsidRPr="005459C3">
          <w:rPr>
            <w:rStyle w:val="Hyperlink"/>
            <w:rFonts w:ascii="Palatino Linotype" w:hAnsi="Palatino Linotype"/>
          </w:rPr>
          <w:t>https://www.isr.umich.edu/home/diversity/resources/white-privilege.pdf</w:t>
        </w:r>
      </w:hyperlink>
      <w:r w:rsidRPr="005459C3">
        <w:rPr>
          <w:rFonts w:ascii="Palatino Linotype" w:hAnsi="Palatino Linotype"/>
        </w:rPr>
        <w:t xml:space="preserve">&gt; </w:t>
      </w:r>
    </w:p>
  </w:footnote>
  <w:footnote w:id="76">
    <w:p w14:paraId="559B33BF" w14:textId="77777777" w:rsidR="00107F8C" w:rsidRPr="005459C3" w:rsidRDefault="00107F8C" w:rsidP="000F4191">
      <w:pPr>
        <w:pStyle w:val="FootnoteText"/>
        <w:ind w:left="142" w:hanging="142"/>
        <w:rPr>
          <w:rFonts w:ascii="Palatino Linotype" w:hAnsi="Palatino Linotype" w:cs="Arial"/>
          <w:i/>
          <w:color w:val="000000" w:themeColor="text1"/>
        </w:rPr>
      </w:pPr>
      <w:r w:rsidRPr="005459C3">
        <w:rPr>
          <w:rStyle w:val="FootnoteReference"/>
          <w:rFonts w:ascii="Palatino Linotype" w:hAnsi="Palatino Linotype" w:cs="Arial"/>
          <w:color w:val="000000" w:themeColor="text1"/>
        </w:rPr>
        <w:footnoteRef/>
      </w:r>
      <w:r w:rsidRPr="005459C3">
        <w:rPr>
          <w:rFonts w:ascii="Palatino Linotype" w:hAnsi="Palatino Linotype" w:cs="Arial"/>
          <w:color w:val="000000" w:themeColor="text1"/>
        </w:rPr>
        <w:t xml:space="preserve"> For examples of criteria used see Judith McNamara, Tina Cockburn and Catherine Campbell, </w:t>
      </w:r>
      <w:r w:rsidRPr="005459C3">
        <w:rPr>
          <w:rFonts w:ascii="Palatino Linotype" w:hAnsi="Palatino Linotype" w:cs="Arial"/>
          <w:i/>
          <w:color w:val="000000" w:themeColor="text1"/>
        </w:rPr>
        <w:t>Good Practice</w:t>
      </w:r>
    </w:p>
    <w:p w14:paraId="2F7A8A05" w14:textId="714FF1E0" w:rsidR="00107F8C" w:rsidRPr="005459C3" w:rsidRDefault="00107F8C" w:rsidP="000F4191">
      <w:pPr>
        <w:pStyle w:val="FootnoteText"/>
        <w:ind w:left="142" w:hanging="142"/>
        <w:rPr>
          <w:rFonts w:ascii="Palatino Linotype" w:hAnsi="Palatino Linotype" w:cs="Arial"/>
          <w:color w:val="000000" w:themeColor="text1"/>
        </w:rPr>
      </w:pPr>
      <w:r w:rsidRPr="005459C3">
        <w:rPr>
          <w:rFonts w:ascii="Palatino Linotype" w:hAnsi="Palatino Linotype" w:cs="Arial"/>
          <w:i/>
          <w:color w:val="000000" w:themeColor="text1"/>
        </w:rPr>
        <w:t xml:space="preserve">Guide (Bachelor of Laws), Reflective Practice </w:t>
      </w:r>
      <w:r w:rsidRPr="005459C3">
        <w:rPr>
          <w:rFonts w:ascii="Palatino Linotype" w:hAnsi="Palatino Linotype" w:cs="Arial"/>
          <w:color w:val="000000" w:themeColor="text1"/>
        </w:rPr>
        <w:t>(2013) &lt;</w:t>
      </w:r>
      <w:hyperlink r:id="rId8" w:history="1">
        <w:r w:rsidRPr="005459C3">
          <w:rPr>
            <w:rStyle w:val="Hyperlink"/>
            <w:rFonts w:ascii="Palatino Linotype" w:hAnsi="Palatino Linotype" w:cs="Arial"/>
          </w:rPr>
          <w:t>http://www.lawteachnetwork.org/resources/gpgreflection.pdf</w:t>
        </w:r>
      </w:hyperlink>
      <w:r w:rsidRPr="005459C3">
        <w:rPr>
          <w:rFonts w:ascii="Palatino Linotype" w:hAnsi="Palatino Linotype" w:cs="Arial"/>
          <w:color w:val="000000" w:themeColor="text1"/>
        </w:rPr>
        <w:t>&gt;.</w:t>
      </w:r>
    </w:p>
  </w:footnote>
  <w:footnote w:id="77">
    <w:p w14:paraId="0B0DB2F8" w14:textId="1DAEB558" w:rsidR="00107F8C" w:rsidRPr="005459C3" w:rsidRDefault="00107F8C" w:rsidP="00676CAF">
      <w:pPr>
        <w:pStyle w:val="FootnoteText"/>
        <w:rPr>
          <w:rFonts w:ascii="Palatino Linotype" w:hAnsi="Palatino Linotype"/>
          <w:lang w:val="en-US"/>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 xml:space="preserve">Janet Smithson, ‘Focus Groups’ in </w:t>
      </w:r>
      <w:proofErr w:type="spellStart"/>
      <w:r w:rsidRPr="005459C3">
        <w:rPr>
          <w:rFonts w:ascii="Palatino Linotype" w:hAnsi="Palatino Linotype"/>
          <w:lang w:val="en-US"/>
        </w:rPr>
        <w:t>Pertti</w:t>
      </w:r>
      <w:proofErr w:type="spellEnd"/>
      <w:r w:rsidRPr="005459C3">
        <w:rPr>
          <w:rFonts w:ascii="Palatino Linotype" w:hAnsi="Palatino Linotype"/>
          <w:lang w:val="en-US"/>
        </w:rPr>
        <w:t xml:space="preserve"> </w:t>
      </w:r>
      <w:proofErr w:type="spellStart"/>
      <w:r w:rsidRPr="005459C3">
        <w:rPr>
          <w:rFonts w:ascii="Palatino Linotype" w:hAnsi="Palatino Linotype"/>
          <w:lang w:val="en-US"/>
        </w:rPr>
        <w:t>Alasuutari</w:t>
      </w:r>
      <w:proofErr w:type="spellEnd"/>
      <w:r w:rsidRPr="005459C3">
        <w:rPr>
          <w:rFonts w:ascii="Palatino Linotype" w:hAnsi="Palatino Linotype"/>
          <w:lang w:val="en-US"/>
        </w:rPr>
        <w:t xml:space="preserve">, Leonard </w:t>
      </w:r>
      <w:proofErr w:type="spellStart"/>
      <w:r w:rsidRPr="005459C3">
        <w:rPr>
          <w:rFonts w:ascii="Palatino Linotype" w:hAnsi="Palatino Linotype"/>
          <w:lang w:val="en-US"/>
        </w:rPr>
        <w:t>Bickman</w:t>
      </w:r>
      <w:proofErr w:type="spellEnd"/>
      <w:r w:rsidRPr="005459C3">
        <w:rPr>
          <w:rFonts w:ascii="Palatino Linotype" w:hAnsi="Palatino Linotype"/>
          <w:lang w:val="en-US"/>
        </w:rPr>
        <w:t xml:space="preserve"> and Julia </w:t>
      </w:r>
      <w:proofErr w:type="spellStart"/>
      <w:r w:rsidRPr="005459C3">
        <w:rPr>
          <w:rFonts w:ascii="Palatino Linotype" w:hAnsi="Palatino Linotype"/>
          <w:lang w:val="en-US"/>
        </w:rPr>
        <w:t>Brannen</w:t>
      </w:r>
      <w:proofErr w:type="spellEnd"/>
      <w:r w:rsidRPr="005459C3">
        <w:rPr>
          <w:rFonts w:ascii="Palatino Linotype" w:hAnsi="Palatino Linotype"/>
          <w:lang w:val="en-US"/>
        </w:rPr>
        <w:t xml:space="preserve"> (</w:t>
      </w:r>
      <w:proofErr w:type="spellStart"/>
      <w:r w:rsidRPr="005459C3">
        <w:rPr>
          <w:rFonts w:ascii="Palatino Linotype" w:hAnsi="Palatino Linotype"/>
          <w:lang w:val="en-US"/>
        </w:rPr>
        <w:t>eds</w:t>
      </w:r>
      <w:proofErr w:type="spellEnd"/>
      <w:r w:rsidRPr="005459C3">
        <w:rPr>
          <w:rFonts w:ascii="Palatino Linotype" w:hAnsi="Palatino Linotype"/>
          <w:lang w:val="en-US"/>
        </w:rPr>
        <w:t xml:space="preserve">), </w:t>
      </w:r>
      <w:r w:rsidRPr="005459C3">
        <w:rPr>
          <w:rFonts w:ascii="Palatino Linotype" w:hAnsi="Palatino Linotype"/>
          <w:i/>
          <w:lang w:val="en-US"/>
        </w:rPr>
        <w:t xml:space="preserve">The SAGE Handbook of Social Research Methods </w:t>
      </w:r>
      <w:r w:rsidRPr="005459C3">
        <w:rPr>
          <w:rFonts w:ascii="Palatino Linotype" w:hAnsi="Palatino Linotype"/>
          <w:lang w:val="en-US"/>
        </w:rPr>
        <w:t xml:space="preserve">(SAGE Publications Ltd, 2008) 358. </w:t>
      </w:r>
    </w:p>
  </w:footnote>
  <w:footnote w:id="78">
    <w:p w14:paraId="27977CB5" w14:textId="250C4126"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Ibid, 363</w:t>
      </w:r>
    </w:p>
  </w:footnote>
  <w:footnote w:id="79">
    <w:p w14:paraId="7997F076" w14:textId="622C2366"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Smithson, above n 81, 357.</w:t>
      </w:r>
    </w:p>
  </w:footnote>
  <w:footnote w:id="80">
    <w:p w14:paraId="54F0CE5C" w14:textId="5256DCAA"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Ibid, 357.</w:t>
      </w:r>
    </w:p>
  </w:footnote>
  <w:footnote w:id="81">
    <w:p w14:paraId="3529840D" w14:textId="695C5313" w:rsidR="00107F8C" w:rsidRPr="005459C3" w:rsidRDefault="00107F8C" w:rsidP="00676CAF">
      <w:pPr>
        <w:pStyle w:val="FootnoteText"/>
        <w:rPr>
          <w:rFonts w:ascii="Palatino Linotype" w:hAnsi="Palatino Linotype"/>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Smithson, above n 81, 357.</w:t>
      </w:r>
    </w:p>
  </w:footnote>
  <w:footnote w:id="82">
    <w:p w14:paraId="14BBBE64" w14:textId="15EC00A2" w:rsidR="00107F8C" w:rsidRDefault="00107F8C" w:rsidP="00676CAF">
      <w:pPr>
        <w:pStyle w:val="FootnoteText"/>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Ibid, 358.</w:t>
      </w:r>
    </w:p>
  </w:footnote>
  <w:footnote w:id="83">
    <w:p w14:paraId="0183C9BD" w14:textId="19E0FC94" w:rsidR="00107F8C" w:rsidRPr="005459C3" w:rsidRDefault="00107F8C" w:rsidP="00676CAF">
      <w:pPr>
        <w:pStyle w:val="FootnoteText"/>
        <w:rPr>
          <w:rFonts w:ascii="Palatino Linotype" w:hAnsi="Palatino Linotype"/>
          <w:lang w:val="en-US"/>
        </w:rPr>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lang w:val="en-US"/>
        </w:rPr>
        <w:t>Smithson, above n 81, 364.</w:t>
      </w:r>
    </w:p>
  </w:footnote>
  <w:footnote w:id="84">
    <w:p w14:paraId="65404FEA" w14:textId="3B12B139" w:rsidR="001E63FF" w:rsidRDefault="001E63FF" w:rsidP="001E63FF">
      <w:pPr>
        <w:pStyle w:val="FootnoteText"/>
      </w:pPr>
      <w:r w:rsidRPr="005459C3">
        <w:rPr>
          <w:rStyle w:val="FootnoteReference"/>
          <w:rFonts w:ascii="Palatino Linotype" w:hAnsi="Palatino Linotype"/>
        </w:rPr>
        <w:footnoteRef/>
      </w:r>
      <w:r w:rsidRPr="005459C3">
        <w:rPr>
          <w:rFonts w:ascii="Palatino Linotype" w:hAnsi="Palatino Linotype"/>
        </w:rPr>
        <w:t xml:space="preserve"> </w:t>
      </w:r>
      <w:r w:rsidRPr="005459C3">
        <w:rPr>
          <w:rFonts w:ascii="Palatino Linotype" w:hAnsi="Palatino Linotype" w:cs="Times New Roman"/>
        </w:rPr>
        <w:t>Eight individuals participated in the qualitative study (</w:t>
      </w:r>
      <w:r w:rsidRPr="005459C3">
        <w:rPr>
          <w:rFonts w:ascii="Palatino Linotype" w:hAnsi="Palatino Linotype" w:cs="Times New Roman"/>
          <w:i/>
        </w:rPr>
        <w:t>F</w:t>
      </w:r>
      <w:r w:rsidRPr="005459C3">
        <w:rPr>
          <w:rFonts w:ascii="Palatino Linotype" w:hAnsi="Palatino Linotype" w:cs="Times New Roman"/>
        </w:rPr>
        <w:t xml:space="preserve"> = 4; </w:t>
      </w:r>
      <w:r w:rsidRPr="005459C3">
        <w:rPr>
          <w:rFonts w:ascii="Palatino Linotype" w:hAnsi="Palatino Linotype" w:cs="Times New Roman"/>
          <w:i/>
        </w:rPr>
        <w:t>M</w:t>
      </w:r>
      <w:r w:rsidRPr="005459C3">
        <w:rPr>
          <w:rFonts w:ascii="Palatino Linotype" w:hAnsi="Palatino Linotype" w:cs="Times New Roman"/>
        </w:rPr>
        <w:t xml:space="preserve"> = 4). Participants ranged in age from 22 to 39 years (M</w:t>
      </w:r>
      <w:r w:rsidR="00013A36">
        <w:rPr>
          <w:rFonts w:ascii="Palatino Linotype" w:hAnsi="Palatino Linotype" w:cs="Times New Roman"/>
        </w:rPr>
        <w:t xml:space="preserve">. </w:t>
      </w:r>
      <w:r w:rsidRPr="005459C3">
        <w:rPr>
          <w:rFonts w:ascii="Palatino Linotype" w:hAnsi="Palatino Linotype" w:cs="Times New Roman"/>
        </w:rPr>
        <w:t>age = 26.25years). The majority of the sample were not married (</w:t>
      </w:r>
      <w:r w:rsidRPr="005459C3">
        <w:rPr>
          <w:rFonts w:ascii="Palatino Linotype" w:hAnsi="Palatino Linotype" w:cs="Times New Roman"/>
          <w:i/>
        </w:rPr>
        <w:t>N</w:t>
      </w:r>
      <w:r w:rsidRPr="005459C3">
        <w:rPr>
          <w:rFonts w:ascii="Palatino Linotype" w:hAnsi="Palatino Linotype" w:cs="Times New Roman"/>
        </w:rPr>
        <w:t xml:space="preserve"> = 7) and did not identify with an ethnicity other than Australian (</w:t>
      </w:r>
      <w:r w:rsidRPr="005459C3">
        <w:rPr>
          <w:rFonts w:ascii="Palatino Linotype" w:hAnsi="Palatino Linotype" w:cs="Times New Roman"/>
          <w:i/>
        </w:rPr>
        <w:t>N</w:t>
      </w:r>
      <w:r w:rsidRPr="005459C3">
        <w:rPr>
          <w:rFonts w:ascii="Palatino Linotype" w:hAnsi="Palatino Linotype" w:cs="Times New Roman"/>
        </w:rPr>
        <w:t xml:space="preserve"> = 5). Participants were enrolled in a range of courses including a number of double degrees Bachelor of Laws/Business (</w:t>
      </w:r>
      <w:r w:rsidRPr="005459C3">
        <w:rPr>
          <w:rFonts w:ascii="Palatino Linotype" w:hAnsi="Palatino Linotype" w:cs="Times New Roman"/>
          <w:i/>
        </w:rPr>
        <w:t>N</w:t>
      </w:r>
      <w:r w:rsidRPr="005459C3">
        <w:rPr>
          <w:rFonts w:ascii="Palatino Linotype" w:hAnsi="Palatino Linotype" w:cs="Times New Roman"/>
        </w:rPr>
        <w:t xml:space="preserve"> = 3), Bachelor Laws/Graduate Diploma Legal Practice (</w:t>
      </w:r>
      <w:r w:rsidRPr="005459C3">
        <w:rPr>
          <w:rFonts w:ascii="Palatino Linotype" w:hAnsi="Palatino Linotype" w:cs="Times New Roman"/>
          <w:i/>
        </w:rPr>
        <w:t>N</w:t>
      </w:r>
      <w:r w:rsidRPr="005459C3">
        <w:rPr>
          <w:rFonts w:ascii="Palatino Linotype" w:hAnsi="Palatino Linotype" w:cs="Times New Roman"/>
        </w:rPr>
        <w:t>=1), Graduate Diploma Legal Practice (N = 2) and Bachelor of Laws (</w:t>
      </w:r>
      <w:r w:rsidRPr="005459C3">
        <w:rPr>
          <w:rFonts w:ascii="Palatino Linotype" w:hAnsi="Palatino Linotype" w:cs="Times New Roman"/>
          <w:i/>
        </w:rPr>
        <w:t>N</w:t>
      </w:r>
      <w:r w:rsidRPr="005459C3">
        <w:rPr>
          <w:rFonts w:ascii="Palatino Linotype" w:hAnsi="Palatino Linotype" w:cs="Times New Roman"/>
        </w:rPr>
        <w:t xml:space="preserve"> = 2). The majority of students (</w:t>
      </w:r>
      <w:r w:rsidRPr="005459C3">
        <w:rPr>
          <w:rFonts w:ascii="Palatino Linotype" w:hAnsi="Palatino Linotype" w:cs="Times New Roman"/>
          <w:i/>
        </w:rPr>
        <w:t>N</w:t>
      </w:r>
      <w:r w:rsidRPr="005459C3">
        <w:rPr>
          <w:rFonts w:ascii="Palatino Linotype" w:hAnsi="Palatino Linotype" w:cs="Times New Roman"/>
        </w:rPr>
        <w:t>=6) were in the later stages of their degree (i.e., fourth year or beyond). Five of the eight participants had prior volunteering experience.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E110" w14:textId="77777777" w:rsidR="00107F8C" w:rsidRDefault="0010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417"/>
    <w:multiLevelType w:val="hybridMultilevel"/>
    <w:tmpl w:val="A08E12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35E2DB7"/>
    <w:multiLevelType w:val="hybridMultilevel"/>
    <w:tmpl w:val="1938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620F10"/>
    <w:multiLevelType w:val="hybridMultilevel"/>
    <w:tmpl w:val="2C7AB1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ED3014"/>
    <w:multiLevelType w:val="hybridMultilevel"/>
    <w:tmpl w:val="40B0325C"/>
    <w:lvl w:ilvl="0" w:tplc="9654AE70">
      <w:start w:val="3"/>
      <w:numFmt w:val="bullet"/>
      <w:lvlText w:val="-"/>
      <w:lvlJc w:val="left"/>
      <w:pPr>
        <w:ind w:left="11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C0E4BEF"/>
    <w:multiLevelType w:val="hybridMultilevel"/>
    <w:tmpl w:val="9E107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E81F6D"/>
    <w:multiLevelType w:val="hybridMultilevel"/>
    <w:tmpl w:val="850EDD7A"/>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592" w:hanging="360"/>
      </w:pPr>
      <w:rPr>
        <w:rFonts w:ascii="Courier New" w:hAnsi="Courier New" w:hint="default"/>
      </w:rPr>
    </w:lvl>
    <w:lvl w:ilvl="2" w:tplc="04090005" w:tentative="1">
      <w:start w:val="1"/>
      <w:numFmt w:val="bullet"/>
      <w:lvlText w:val=""/>
      <w:lvlJc w:val="left"/>
      <w:pPr>
        <w:ind w:left="1312" w:hanging="360"/>
      </w:pPr>
      <w:rPr>
        <w:rFonts w:ascii="Wingdings" w:hAnsi="Wingdings" w:hint="default"/>
      </w:rPr>
    </w:lvl>
    <w:lvl w:ilvl="3" w:tplc="04090001" w:tentative="1">
      <w:start w:val="1"/>
      <w:numFmt w:val="bullet"/>
      <w:lvlText w:val=""/>
      <w:lvlJc w:val="left"/>
      <w:pPr>
        <w:ind w:left="2032" w:hanging="360"/>
      </w:pPr>
      <w:rPr>
        <w:rFonts w:ascii="Symbol" w:hAnsi="Symbol" w:hint="default"/>
      </w:rPr>
    </w:lvl>
    <w:lvl w:ilvl="4" w:tplc="04090003" w:tentative="1">
      <w:start w:val="1"/>
      <w:numFmt w:val="bullet"/>
      <w:lvlText w:val="o"/>
      <w:lvlJc w:val="left"/>
      <w:pPr>
        <w:ind w:left="2752" w:hanging="360"/>
      </w:pPr>
      <w:rPr>
        <w:rFonts w:ascii="Courier New" w:hAnsi="Courier New" w:hint="default"/>
      </w:rPr>
    </w:lvl>
    <w:lvl w:ilvl="5" w:tplc="04090005" w:tentative="1">
      <w:start w:val="1"/>
      <w:numFmt w:val="bullet"/>
      <w:lvlText w:val=""/>
      <w:lvlJc w:val="left"/>
      <w:pPr>
        <w:ind w:left="3472" w:hanging="360"/>
      </w:pPr>
      <w:rPr>
        <w:rFonts w:ascii="Wingdings" w:hAnsi="Wingdings" w:hint="default"/>
      </w:rPr>
    </w:lvl>
    <w:lvl w:ilvl="6" w:tplc="04090001" w:tentative="1">
      <w:start w:val="1"/>
      <w:numFmt w:val="bullet"/>
      <w:lvlText w:val=""/>
      <w:lvlJc w:val="left"/>
      <w:pPr>
        <w:ind w:left="4192" w:hanging="360"/>
      </w:pPr>
      <w:rPr>
        <w:rFonts w:ascii="Symbol" w:hAnsi="Symbol" w:hint="default"/>
      </w:rPr>
    </w:lvl>
    <w:lvl w:ilvl="7" w:tplc="04090003" w:tentative="1">
      <w:start w:val="1"/>
      <w:numFmt w:val="bullet"/>
      <w:lvlText w:val="o"/>
      <w:lvlJc w:val="left"/>
      <w:pPr>
        <w:ind w:left="4912" w:hanging="360"/>
      </w:pPr>
      <w:rPr>
        <w:rFonts w:ascii="Courier New" w:hAnsi="Courier New" w:hint="default"/>
      </w:rPr>
    </w:lvl>
    <w:lvl w:ilvl="8" w:tplc="04090005" w:tentative="1">
      <w:start w:val="1"/>
      <w:numFmt w:val="bullet"/>
      <w:lvlText w:val=""/>
      <w:lvlJc w:val="left"/>
      <w:pPr>
        <w:ind w:left="5632" w:hanging="360"/>
      </w:pPr>
      <w:rPr>
        <w:rFonts w:ascii="Wingdings" w:hAnsi="Wingdings" w:hint="default"/>
      </w:rPr>
    </w:lvl>
  </w:abstractNum>
  <w:abstractNum w:abstractNumId="6">
    <w:nsid w:val="354D183E"/>
    <w:multiLevelType w:val="hybridMultilevel"/>
    <w:tmpl w:val="952AD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8A6542"/>
    <w:multiLevelType w:val="hybridMultilevel"/>
    <w:tmpl w:val="B7DE3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36201A"/>
    <w:multiLevelType w:val="hybridMultilevel"/>
    <w:tmpl w:val="C5C4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4B296B"/>
    <w:multiLevelType w:val="multilevel"/>
    <w:tmpl w:val="2C9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40376"/>
    <w:multiLevelType w:val="hybridMultilevel"/>
    <w:tmpl w:val="CA8AC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601DB2"/>
    <w:multiLevelType w:val="hybridMultilevel"/>
    <w:tmpl w:val="B4AC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660214"/>
    <w:multiLevelType w:val="hybridMultilevel"/>
    <w:tmpl w:val="BCA81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21095D"/>
    <w:multiLevelType w:val="hybridMultilevel"/>
    <w:tmpl w:val="E39A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A47249"/>
    <w:multiLevelType w:val="hybridMultilevel"/>
    <w:tmpl w:val="3B8A7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9918F7"/>
    <w:multiLevelType w:val="hybridMultilevel"/>
    <w:tmpl w:val="F77AA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FB1F9E"/>
    <w:multiLevelType w:val="hybridMultilevel"/>
    <w:tmpl w:val="464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70363"/>
    <w:multiLevelType w:val="hybridMultilevel"/>
    <w:tmpl w:val="5C1C2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FE1804"/>
    <w:multiLevelType w:val="hybridMultilevel"/>
    <w:tmpl w:val="0D48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A84230"/>
    <w:multiLevelType w:val="hybridMultilevel"/>
    <w:tmpl w:val="06B0C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834D2B"/>
    <w:multiLevelType w:val="hybridMultilevel"/>
    <w:tmpl w:val="66C29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13"/>
  </w:num>
  <w:num w:numId="6">
    <w:abstractNumId w:val="19"/>
  </w:num>
  <w:num w:numId="7">
    <w:abstractNumId w:val="14"/>
  </w:num>
  <w:num w:numId="8">
    <w:abstractNumId w:val="11"/>
  </w:num>
  <w:num w:numId="9">
    <w:abstractNumId w:val="6"/>
  </w:num>
  <w:num w:numId="10">
    <w:abstractNumId w:val="18"/>
  </w:num>
  <w:num w:numId="11">
    <w:abstractNumId w:val="0"/>
  </w:num>
  <w:num w:numId="12">
    <w:abstractNumId w:val="5"/>
  </w:num>
  <w:num w:numId="13">
    <w:abstractNumId w:val="20"/>
  </w:num>
  <w:num w:numId="14">
    <w:abstractNumId w:val="7"/>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3"/>
  </w:num>
  <w:num w:numId="19">
    <w:abstractNumId w:val="10"/>
  </w:num>
  <w:num w:numId="20">
    <w:abstractNumId w:val="1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4D"/>
    <w:rsid w:val="00002867"/>
    <w:rsid w:val="00004304"/>
    <w:rsid w:val="00005568"/>
    <w:rsid w:val="00007C9F"/>
    <w:rsid w:val="000120A6"/>
    <w:rsid w:val="00013A36"/>
    <w:rsid w:val="000237C2"/>
    <w:rsid w:val="00023AB5"/>
    <w:rsid w:val="00023CED"/>
    <w:rsid w:val="00027463"/>
    <w:rsid w:val="00034DF2"/>
    <w:rsid w:val="00037C85"/>
    <w:rsid w:val="00041E12"/>
    <w:rsid w:val="00041FE5"/>
    <w:rsid w:val="00043D52"/>
    <w:rsid w:val="0005365B"/>
    <w:rsid w:val="00054427"/>
    <w:rsid w:val="0005635C"/>
    <w:rsid w:val="00061A5A"/>
    <w:rsid w:val="00090F35"/>
    <w:rsid w:val="0009568C"/>
    <w:rsid w:val="000A3020"/>
    <w:rsid w:val="000A6F15"/>
    <w:rsid w:val="000B1249"/>
    <w:rsid w:val="000B62F1"/>
    <w:rsid w:val="000D1F58"/>
    <w:rsid w:val="000D7419"/>
    <w:rsid w:val="000F39CB"/>
    <w:rsid w:val="000F4191"/>
    <w:rsid w:val="000F6B2A"/>
    <w:rsid w:val="00100C1C"/>
    <w:rsid w:val="00102D9D"/>
    <w:rsid w:val="00107F8C"/>
    <w:rsid w:val="00120937"/>
    <w:rsid w:val="00120DA4"/>
    <w:rsid w:val="0012418E"/>
    <w:rsid w:val="001271E5"/>
    <w:rsid w:val="0014517F"/>
    <w:rsid w:val="00145528"/>
    <w:rsid w:val="001475C3"/>
    <w:rsid w:val="00150AB0"/>
    <w:rsid w:val="00150F9F"/>
    <w:rsid w:val="00177295"/>
    <w:rsid w:val="00194492"/>
    <w:rsid w:val="001A4B82"/>
    <w:rsid w:val="001A54DD"/>
    <w:rsid w:val="001B1273"/>
    <w:rsid w:val="001B7BB2"/>
    <w:rsid w:val="001C79C4"/>
    <w:rsid w:val="001D16D8"/>
    <w:rsid w:val="001E307F"/>
    <w:rsid w:val="001E63FF"/>
    <w:rsid w:val="001F6F38"/>
    <w:rsid w:val="00201C4A"/>
    <w:rsid w:val="00205B26"/>
    <w:rsid w:val="0020710F"/>
    <w:rsid w:val="00207D2E"/>
    <w:rsid w:val="002107F8"/>
    <w:rsid w:val="00217955"/>
    <w:rsid w:val="002207A1"/>
    <w:rsid w:val="00230386"/>
    <w:rsid w:val="00233549"/>
    <w:rsid w:val="00233B01"/>
    <w:rsid w:val="0023401E"/>
    <w:rsid w:val="002402FD"/>
    <w:rsid w:val="00247ED0"/>
    <w:rsid w:val="0026379A"/>
    <w:rsid w:val="0027397B"/>
    <w:rsid w:val="0027612B"/>
    <w:rsid w:val="00276FAB"/>
    <w:rsid w:val="002777AE"/>
    <w:rsid w:val="00286CF0"/>
    <w:rsid w:val="002A265F"/>
    <w:rsid w:val="002A3C73"/>
    <w:rsid w:val="002B07D9"/>
    <w:rsid w:val="002B2732"/>
    <w:rsid w:val="002B2C76"/>
    <w:rsid w:val="002B3F3B"/>
    <w:rsid w:val="002D375C"/>
    <w:rsid w:val="002D3AA2"/>
    <w:rsid w:val="002D6E68"/>
    <w:rsid w:val="002E08EE"/>
    <w:rsid w:val="002E17D7"/>
    <w:rsid w:val="002E6D4E"/>
    <w:rsid w:val="002F0319"/>
    <w:rsid w:val="002F1799"/>
    <w:rsid w:val="002F5A01"/>
    <w:rsid w:val="002F7A00"/>
    <w:rsid w:val="0030570B"/>
    <w:rsid w:val="00326E38"/>
    <w:rsid w:val="00326E63"/>
    <w:rsid w:val="00327B44"/>
    <w:rsid w:val="003312EE"/>
    <w:rsid w:val="00340AD5"/>
    <w:rsid w:val="003411FF"/>
    <w:rsid w:val="00354D76"/>
    <w:rsid w:val="00364409"/>
    <w:rsid w:val="003703DB"/>
    <w:rsid w:val="00375E34"/>
    <w:rsid w:val="00383117"/>
    <w:rsid w:val="003A1DA5"/>
    <w:rsid w:val="003B0695"/>
    <w:rsid w:val="003C4829"/>
    <w:rsid w:val="003D3FD5"/>
    <w:rsid w:val="003D711C"/>
    <w:rsid w:val="003E1FC4"/>
    <w:rsid w:val="003E2124"/>
    <w:rsid w:val="003E738E"/>
    <w:rsid w:val="003F74CE"/>
    <w:rsid w:val="00403A81"/>
    <w:rsid w:val="00404CB2"/>
    <w:rsid w:val="004051FE"/>
    <w:rsid w:val="0041069C"/>
    <w:rsid w:val="00411D7C"/>
    <w:rsid w:val="0042381D"/>
    <w:rsid w:val="004340C8"/>
    <w:rsid w:val="00437AB7"/>
    <w:rsid w:val="00451766"/>
    <w:rsid w:val="004616A6"/>
    <w:rsid w:val="0048172B"/>
    <w:rsid w:val="00481D90"/>
    <w:rsid w:val="0048218F"/>
    <w:rsid w:val="00486A02"/>
    <w:rsid w:val="00487C26"/>
    <w:rsid w:val="00494069"/>
    <w:rsid w:val="00494FFC"/>
    <w:rsid w:val="00495A47"/>
    <w:rsid w:val="004A0AFB"/>
    <w:rsid w:val="004A4933"/>
    <w:rsid w:val="004A5206"/>
    <w:rsid w:val="004C3080"/>
    <w:rsid w:val="004E5BB9"/>
    <w:rsid w:val="004E72BB"/>
    <w:rsid w:val="00500B33"/>
    <w:rsid w:val="00517F96"/>
    <w:rsid w:val="005221A4"/>
    <w:rsid w:val="005278B8"/>
    <w:rsid w:val="0053316C"/>
    <w:rsid w:val="005459C3"/>
    <w:rsid w:val="00545A8B"/>
    <w:rsid w:val="00552107"/>
    <w:rsid w:val="0056118A"/>
    <w:rsid w:val="005619FD"/>
    <w:rsid w:val="00565B46"/>
    <w:rsid w:val="00570ECE"/>
    <w:rsid w:val="0058164B"/>
    <w:rsid w:val="005873C3"/>
    <w:rsid w:val="005918F4"/>
    <w:rsid w:val="005A2FAB"/>
    <w:rsid w:val="005A3A7E"/>
    <w:rsid w:val="005A5F07"/>
    <w:rsid w:val="005B2FE8"/>
    <w:rsid w:val="005B5F5F"/>
    <w:rsid w:val="005D2159"/>
    <w:rsid w:val="005F640B"/>
    <w:rsid w:val="005F7FA0"/>
    <w:rsid w:val="0060363B"/>
    <w:rsid w:val="006100D3"/>
    <w:rsid w:val="006213F5"/>
    <w:rsid w:val="00623C6D"/>
    <w:rsid w:val="00631877"/>
    <w:rsid w:val="00637D29"/>
    <w:rsid w:val="00647E24"/>
    <w:rsid w:val="006510DB"/>
    <w:rsid w:val="00652DEE"/>
    <w:rsid w:val="0066579C"/>
    <w:rsid w:val="006666BF"/>
    <w:rsid w:val="00676CAF"/>
    <w:rsid w:val="00677771"/>
    <w:rsid w:val="006819B1"/>
    <w:rsid w:val="0068573B"/>
    <w:rsid w:val="00694CA0"/>
    <w:rsid w:val="006A4FAC"/>
    <w:rsid w:val="006B091E"/>
    <w:rsid w:val="006B304F"/>
    <w:rsid w:val="006C28A2"/>
    <w:rsid w:val="006D158E"/>
    <w:rsid w:val="006D3C46"/>
    <w:rsid w:val="006F513D"/>
    <w:rsid w:val="006F6ECE"/>
    <w:rsid w:val="00705648"/>
    <w:rsid w:val="00712F32"/>
    <w:rsid w:val="007166F0"/>
    <w:rsid w:val="00732FBF"/>
    <w:rsid w:val="00737DEF"/>
    <w:rsid w:val="0074023C"/>
    <w:rsid w:val="00746D3B"/>
    <w:rsid w:val="0074713D"/>
    <w:rsid w:val="00754A75"/>
    <w:rsid w:val="00761EFE"/>
    <w:rsid w:val="00763166"/>
    <w:rsid w:val="00766249"/>
    <w:rsid w:val="0077201E"/>
    <w:rsid w:val="0079163B"/>
    <w:rsid w:val="007A1B04"/>
    <w:rsid w:val="007A53C2"/>
    <w:rsid w:val="007C0437"/>
    <w:rsid w:val="007C35D2"/>
    <w:rsid w:val="007C75B8"/>
    <w:rsid w:val="007D44F1"/>
    <w:rsid w:val="007D64B0"/>
    <w:rsid w:val="007D6A9B"/>
    <w:rsid w:val="007F5DC0"/>
    <w:rsid w:val="00813565"/>
    <w:rsid w:val="00820E7F"/>
    <w:rsid w:val="008269CC"/>
    <w:rsid w:val="008274F7"/>
    <w:rsid w:val="00830672"/>
    <w:rsid w:val="008367ED"/>
    <w:rsid w:val="00836BF9"/>
    <w:rsid w:val="00847E52"/>
    <w:rsid w:val="00854C6C"/>
    <w:rsid w:val="008623F9"/>
    <w:rsid w:val="008646DA"/>
    <w:rsid w:val="00865B6C"/>
    <w:rsid w:val="0087172C"/>
    <w:rsid w:val="00873BAC"/>
    <w:rsid w:val="00880AB7"/>
    <w:rsid w:val="008A2C90"/>
    <w:rsid w:val="008A35FE"/>
    <w:rsid w:val="008A3F6C"/>
    <w:rsid w:val="008A4D11"/>
    <w:rsid w:val="008A74D7"/>
    <w:rsid w:val="008B012D"/>
    <w:rsid w:val="008B1A88"/>
    <w:rsid w:val="008B2701"/>
    <w:rsid w:val="008C4D34"/>
    <w:rsid w:val="008E1571"/>
    <w:rsid w:val="008E5FFB"/>
    <w:rsid w:val="008F36D8"/>
    <w:rsid w:val="00903E6C"/>
    <w:rsid w:val="009057D0"/>
    <w:rsid w:val="0091111C"/>
    <w:rsid w:val="009240E1"/>
    <w:rsid w:val="00924105"/>
    <w:rsid w:val="00932F4F"/>
    <w:rsid w:val="00947863"/>
    <w:rsid w:val="009502CF"/>
    <w:rsid w:val="00950ED7"/>
    <w:rsid w:val="009523DD"/>
    <w:rsid w:val="0095387E"/>
    <w:rsid w:val="00972911"/>
    <w:rsid w:val="00974A3F"/>
    <w:rsid w:val="009779DC"/>
    <w:rsid w:val="00986832"/>
    <w:rsid w:val="00991014"/>
    <w:rsid w:val="009925A5"/>
    <w:rsid w:val="009B231D"/>
    <w:rsid w:val="009C13B8"/>
    <w:rsid w:val="009C376A"/>
    <w:rsid w:val="009D53B1"/>
    <w:rsid w:val="009D64A1"/>
    <w:rsid w:val="009F134A"/>
    <w:rsid w:val="00A02745"/>
    <w:rsid w:val="00A04D9E"/>
    <w:rsid w:val="00A11DA8"/>
    <w:rsid w:val="00A17F30"/>
    <w:rsid w:val="00A30838"/>
    <w:rsid w:val="00A324DB"/>
    <w:rsid w:val="00A34FD2"/>
    <w:rsid w:val="00A36E1B"/>
    <w:rsid w:val="00A4023F"/>
    <w:rsid w:val="00A447C6"/>
    <w:rsid w:val="00A5144A"/>
    <w:rsid w:val="00A72E4C"/>
    <w:rsid w:val="00A8316F"/>
    <w:rsid w:val="00A8600C"/>
    <w:rsid w:val="00A93E49"/>
    <w:rsid w:val="00A96C93"/>
    <w:rsid w:val="00AA2744"/>
    <w:rsid w:val="00AA332D"/>
    <w:rsid w:val="00AD350F"/>
    <w:rsid w:val="00AF31B1"/>
    <w:rsid w:val="00AF4CF6"/>
    <w:rsid w:val="00B03EFB"/>
    <w:rsid w:val="00B06C7B"/>
    <w:rsid w:val="00B0746E"/>
    <w:rsid w:val="00B1170E"/>
    <w:rsid w:val="00B25651"/>
    <w:rsid w:val="00B26147"/>
    <w:rsid w:val="00B26E69"/>
    <w:rsid w:val="00B32C10"/>
    <w:rsid w:val="00B372CB"/>
    <w:rsid w:val="00B37BFA"/>
    <w:rsid w:val="00B41D21"/>
    <w:rsid w:val="00B54CD2"/>
    <w:rsid w:val="00B55F8D"/>
    <w:rsid w:val="00B56137"/>
    <w:rsid w:val="00B65282"/>
    <w:rsid w:val="00B65C38"/>
    <w:rsid w:val="00B749FD"/>
    <w:rsid w:val="00B772F5"/>
    <w:rsid w:val="00B81D4E"/>
    <w:rsid w:val="00B93772"/>
    <w:rsid w:val="00B93CB2"/>
    <w:rsid w:val="00BA0FA7"/>
    <w:rsid w:val="00BA1716"/>
    <w:rsid w:val="00BA4294"/>
    <w:rsid w:val="00BA48FA"/>
    <w:rsid w:val="00BB43A9"/>
    <w:rsid w:val="00BB69D8"/>
    <w:rsid w:val="00BB6AD2"/>
    <w:rsid w:val="00BC2FAF"/>
    <w:rsid w:val="00BC4429"/>
    <w:rsid w:val="00BC55F7"/>
    <w:rsid w:val="00BD2210"/>
    <w:rsid w:val="00BD4A76"/>
    <w:rsid w:val="00BE50F7"/>
    <w:rsid w:val="00BE5D43"/>
    <w:rsid w:val="00BF418B"/>
    <w:rsid w:val="00C0682A"/>
    <w:rsid w:val="00C14B34"/>
    <w:rsid w:val="00C155CF"/>
    <w:rsid w:val="00C17819"/>
    <w:rsid w:val="00C3386F"/>
    <w:rsid w:val="00C35383"/>
    <w:rsid w:val="00C60AD1"/>
    <w:rsid w:val="00C64064"/>
    <w:rsid w:val="00C666C6"/>
    <w:rsid w:val="00C77087"/>
    <w:rsid w:val="00C90293"/>
    <w:rsid w:val="00C91FBC"/>
    <w:rsid w:val="00C96547"/>
    <w:rsid w:val="00C96C9B"/>
    <w:rsid w:val="00CA363B"/>
    <w:rsid w:val="00CB0D3E"/>
    <w:rsid w:val="00CB143E"/>
    <w:rsid w:val="00CB2146"/>
    <w:rsid w:val="00CB4086"/>
    <w:rsid w:val="00CB5967"/>
    <w:rsid w:val="00CB7806"/>
    <w:rsid w:val="00CE3977"/>
    <w:rsid w:val="00D111A2"/>
    <w:rsid w:val="00D12978"/>
    <w:rsid w:val="00D15ABC"/>
    <w:rsid w:val="00D17487"/>
    <w:rsid w:val="00D26897"/>
    <w:rsid w:val="00D32120"/>
    <w:rsid w:val="00D43E8C"/>
    <w:rsid w:val="00D4779E"/>
    <w:rsid w:val="00D6516A"/>
    <w:rsid w:val="00D71AC2"/>
    <w:rsid w:val="00D921D9"/>
    <w:rsid w:val="00D9584A"/>
    <w:rsid w:val="00DA1A3C"/>
    <w:rsid w:val="00DA33B3"/>
    <w:rsid w:val="00DB311E"/>
    <w:rsid w:val="00DC3F14"/>
    <w:rsid w:val="00DC75C6"/>
    <w:rsid w:val="00DD376E"/>
    <w:rsid w:val="00DE1AC9"/>
    <w:rsid w:val="00DE356C"/>
    <w:rsid w:val="00DE6000"/>
    <w:rsid w:val="00DF2F2B"/>
    <w:rsid w:val="00DF5097"/>
    <w:rsid w:val="00E005B2"/>
    <w:rsid w:val="00E03AED"/>
    <w:rsid w:val="00E074A5"/>
    <w:rsid w:val="00E1327B"/>
    <w:rsid w:val="00E22219"/>
    <w:rsid w:val="00E27C49"/>
    <w:rsid w:val="00E35F49"/>
    <w:rsid w:val="00E479ED"/>
    <w:rsid w:val="00E5034D"/>
    <w:rsid w:val="00E50566"/>
    <w:rsid w:val="00E641F6"/>
    <w:rsid w:val="00E7610C"/>
    <w:rsid w:val="00E7728C"/>
    <w:rsid w:val="00E90352"/>
    <w:rsid w:val="00E94916"/>
    <w:rsid w:val="00EA5F62"/>
    <w:rsid w:val="00EB7337"/>
    <w:rsid w:val="00EC0BCF"/>
    <w:rsid w:val="00EC531F"/>
    <w:rsid w:val="00ED4753"/>
    <w:rsid w:val="00EE0872"/>
    <w:rsid w:val="00EE0F41"/>
    <w:rsid w:val="00F153FF"/>
    <w:rsid w:val="00F1769D"/>
    <w:rsid w:val="00F22A15"/>
    <w:rsid w:val="00F24895"/>
    <w:rsid w:val="00F3226E"/>
    <w:rsid w:val="00F423CF"/>
    <w:rsid w:val="00F47DDD"/>
    <w:rsid w:val="00F53510"/>
    <w:rsid w:val="00F5752F"/>
    <w:rsid w:val="00F606D0"/>
    <w:rsid w:val="00F623D2"/>
    <w:rsid w:val="00F66A7B"/>
    <w:rsid w:val="00F8734D"/>
    <w:rsid w:val="00FB08F4"/>
    <w:rsid w:val="00FB36D3"/>
    <w:rsid w:val="00FC3051"/>
    <w:rsid w:val="00FD25A4"/>
    <w:rsid w:val="00FE450A"/>
    <w:rsid w:val="00FF1D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D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4D"/>
    <w:pPr>
      <w:ind w:left="720"/>
      <w:contextualSpacing/>
    </w:pPr>
  </w:style>
  <w:style w:type="character" w:styleId="Hyperlink">
    <w:name w:val="Hyperlink"/>
    <w:basedOn w:val="DefaultParagraphFont"/>
    <w:uiPriority w:val="99"/>
    <w:unhideWhenUsed/>
    <w:rsid w:val="00F5752F"/>
    <w:rPr>
      <w:color w:val="0000FF" w:themeColor="hyperlink"/>
      <w:u w:val="single"/>
    </w:rPr>
  </w:style>
  <w:style w:type="paragraph" w:styleId="FootnoteText">
    <w:name w:val="footnote text"/>
    <w:basedOn w:val="Normal"/>
    <w:link w:val="FootnoteTextChar"/>
    <w:uiPriority w:val="99"/>
    <w:unhideWhenUsed/>
    <w:rsid w:val="0081356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813565"/>
    <w:rPr>
      <w:rFonts w:asciiTheme="minorHAnsi" w:hAnsiTheme="minorHAnsi" w:cstheme="minorBidi"/>
      <w:sz w:val="20"/>
      <w:szCs w:val="20"/>
    </w:rPr>
  </w:style>
  <w:style w:type="character" w:styleId="FootnoteReference">
    <w:name w:val="footnote reference"/>
    <w:basedOn w:val="DefaultParagraphFont"/>
    <w:uiPriority w:val="99"/>
    <w:unhideWhenUsed/>
    <w:rsid w:val="00813565"/>
    <w:rPr>
      <w:vertAlign w:val="superscript"/>
    </w:rPr>
  </w:style>
  <w:style w:type="character" w:styleId="CommentReference">
    <w:name w:val="annotation reference"/>
    <w:basedOn w:val="DefaultParagraphFont"/>
    <w:uiPriority w:val="99"/>
    <w:semiHidden/>
    <w:unhideWhenUsed/>
    <w:rsid w:val="00813565"/>
    <w:rPr>
      <w:sz w:val="16"/>
      <w:szCs w:val="16"/>
    </w:rPr>
  </w:style>
  <w:style w:type="paragraph" w:styleId="CommentText">
    <w:name w:val="annotation text"/>
    <w:basedOn w:val="Normal"/>
    <w:link w:val="CommentTextChar"/>
    <w:uiPriority w:val="99"/>
    <w:semiHidden/>
    <w:unhideWhenUsed/>
    <w:rsid w:val="00813565"/>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3565"/>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1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65"/>
    <w:rPr>
      <w:rFonts w:ascii="Tahoma" w:hAnsi="Tahoma" w:cs="Tahoma"/>
      <w:sz w:val="16"/>
      <w:szCs w:val="16"/>
    </w:rPr>
  </w:style>
  <w:style w:type="paragraph" w:styleId="NormalWeb">
    <w:name w:val="Normal (Web)"/>
    <w:basedOn w:val="Normal"/>
    <w:uiPriority w:val="99"/>
    <w:semiHidden/>
    <w:unhideWhenUsed/>
    <w:rsid w:val="00813565"/>
    <w:pPr>
      <w:spacing w:before="100" w:beforeAutospacing="1" w:after="100" w:afterAutospacing="1" w:line="240" w:lineRule="auto"/>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233B01"/>
    <w:rPr>
      <w:rFonts w:ascii="Arial" w:hAnsi="Arial" w:cs="Arial"/>
      <w:b/>
      <w:bCs/>
    </w:rPr>
  </w:style>
  <w:style w:type="character" w:customStyle="1" w:styleId="CommentSubjectChar">
    <w:name w:val="Comment Subject Char"/>
    <w:basedOn w:val="CommentTextChar"/>
    <w:link w:val="CommentSubject"/>
    <w:uiPriority w:val="99"/>
    <w:semiHidden/>
    <w:rsid w:val="00233B01"/>
    <w:rPr>
      <w:rFonts w:asciiTheme="minorHAnsi" w:hAnsiTheme="minorHAnsi" w:cstheme="minorBidi"/>
      <w:b/>
      <w:bCs/>
      <w:sz w:val="20"/>
      <w:szCs w:val="20"/>
    </w:rPr>
  </w:style>
  <w:style w:type="paragraph" w:styleId="Header">
    <w:name w:val="header"/>
    <w:basedOn w:val="Normal"/>
    <w:link w:val="HeaderChar"/>
    <w:uiPriority w:val="99"/>
    <w:unhideWhenUsed/>
    <w:rsid w:val="007D4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4F1"/>
  </w:style>
  <w:style w:type="paragraph" w:styleId="Footer">
    <w:name w:val="footer"/>
    <w:basedOn w:val="Normal"/>
    <w:link w:val="FooterChar"/>
    <w:uiPriority w:val="99"/>
    <w:unhideWhenUsed/>
    <w:rsid w:val="007D4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4F1"/>
  </w:style>
  <w:style w:type="character" w:styleId="FollowedHyperlink">
    <w:name w:val="FollowedHyperlink"/>
    <w:basedOn w:val="DefaultParagraphFont"/>
    <w:uiPriority w:val="99"/>
    <w:semiHidden/>
    <w:unhideWhenUsed/>
    <w:rsid w:val="007C0437"/>
    <w:rPr>
      <w:color w:val="800080" w:themeColor="followedHyperlink"/>
      <w:u w:val="single"/>
    </w:rPr>
  </w:style>
  <w:style w:type="paragraph" w:styleId="EndnoteText">
    <w:name w:val="endnote text"/>
    <w:basedOn w:val="Normal"/>
    <w:link w:val="EndnoteTextChar"/>
    <w:uiPriority w:val="99"/>
    <w:semiHidden/>
    <w:unhideWhenUsed/>
    <w:rsid w:val="0015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AB0"/>
    <w:rPr>
      <w:sz w:val="20"/>
      <w:szCs w:val="20"/>
    </w:rPr>
  </w:style>
  <w:style w:type="character" w:styleId="EndnoteReference">
    <w:name w:val="endnote reference"/>
    <w:basedOn w:val="DefaultParagraphFont"/>
    <w:uiPriority w:val="99"/>
    <w:semiHidden/>
    <w:unhideWhenUsed/>
    <w:rsid w:val="00150AB0"/>
    <w:rPr>
      <w:vertAlign w:val="superscript"/>
    </w:rPr>
  </w:style>
  <w:style w:type="paragraph" w:styleId="Revision">
    <w:name w:val="Revision"/>
    <w:hidden/>
    <w:uiPriority w:val="99"/>
    <w:semiHidden/>
    <w:rsid w:val="000F41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4D"/>
    <w:pPr>
      <w:ind w:left="720"/>
      <w:contextualSpacing/>
    </w:pPr>
  </w:style>
  <w:style w:type="character" w:styleId="Hyperlink">
    <w:name w:val="Hyperlink"/>
    <w:basedOn w:val="DefaultParagraphFont"/>
    <w:uiPriority w:val="99"/>
    <w:unhideWhenUsed/>
    <w:rsid w:val="00F5752F"/>
    <w:rPr>
      <w:color w:val="0000FF" w:themeColor="hyperlink"/>
      <w:u w:val="single"/>
    </w:rPr>
  </w:style>
  <w:style w:type="paragraph" w:styleId="FootnoteText">
    <w:name w:val="footnote text"/>
    <w:basedOn w:val="Normal"/>
    <w:link w:val="FootnoteTextChar"/>
    <w:uiPriority w:val="99"/>
    <w:unhideWhenUsed/>
    <w:rsid w:val="0081356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813565"/>
    <w:rPr>
      <w:rFonts w:asciiTheme="minorHAnsi" w:hAnsiTheme="minorHAnsi" w:cstheme="minorBidi"/>
      <w:sz w:val="20"/>
      <w:szCs w:val="20"/>
    </w:rPr>
  </w:style>
  <w:style w:type="character" w:styleId="FootnoteReference">
    <w:name w:val="footnote reference"/>
    <w:basedOn w:val="DefaultParagraphFont"/>
    <w:uiPriority w:val="99"/>
    <w:unhideWhenUsed/>
    <w:rsid w:val="00813565"/>
    <w:rPr>
      <w:vertAlign w:val="superscript"/>
    </w:rPr>
  </w:style>
  <w:style w:type="character" w:styleId="CommentReference">
    <w:name w:val="annotation reference"/>
    <w:basedOn w:val="DefaultParagraphFont"/>
    <w:uiPriority w:val="99"/>
    <w:semiHidden/>
    <w:unhideWhenUsed/>
    <w:rsid w:val="00813565"/>
    <w:rPr>
      <w:sz w:val="16"/>
      <w:szCs w:val="16"/>
    </w:rPr>
  </w:style>
  <w:style w:type="paragraph" w:styleId="CommentText">
    <w:name w:val="annotation text"/>
    <w:basedOn w:val="Normal"/>
    <w:link w:val="CommentTextChar"/>
    <w:uiPriority w:val="99"/>
    <w:semiHidden/>
    <w:unhideWhenUsed/>
    <w:rsid w:val="00813565"/>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3565"/>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81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565"/>
    <w:rPr>
      <w:rFonts w:ascii="Tahoma" w:hAnsi="Tahoma" w:cs="Tahoma"/>
      <w:sz w:val="16"/>
      <w:szCs w:val="16"/>
    </w:rPr>
  </w:style>
  <w:style w:type="paragraph" w:styleId="NormalWeb">
    <w:name w:val="Normal (Web)"/>
    <w:basedOn w:val="Normal"/>
    <w:uiPriority w:val="99"/>
    <w:semiHidden/>
    <w:unhideWhenUsed/>
    <w:rsid w:val="00813565"/>
    <w:pPr>
      <w:spacing w:before="100" w:beforeAutospacing="1" w:after="100" w:afterAutospacing="1" w:line="240" w:lineRule="auto"/>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233B01"/>
    <w:rPr>
      <w:rFonts w:ascii="Arial" w:hAnsi="Arial" w:cs="Arial"/>
      <w:b/>
      <w:bCs/>
    </w:rPr>
  </w:style>
  <w:style w:type="character" w:customStyle="1" w:styleId="CommentSubjectChar">
    <w:name w:val="Comment Subject Char"/>
    <w:basedOn w:val="CommentTextChar"/>
    <w:link w:val="CommentSubject"/>
    <w:uiPriority w:val="99"/>
    <w:semiHidden/>
    <w:rsid w:val="00233B01"/>
    <w:rPr>
      <w:rFonts w:asciiTheme="minorHAnsi" w:hAnsiTheme="minorHAnsi" w:cstheme="minorBidi"/>
      <w:b/>
      <w:bCs/>
      <w:sz w:val="20"/>
      <w:szCs w:val="20"/>
    </w:rPr>
  </w:style>
  <w:style w:type="paragraph" w:styleId="Header">
    <w:name w:val="header"/>
    <w:basedOn w:val="Normal"/>
    <w:link w:val="HeaderChar"/>
    <w:uiPriority w:val="99"/>
    <w:unhideWhenUsed/>
    <w:rsid w:val="007D4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4F1"/>
  </w:style>
  <w:style w:type="paragraph" w:styleId="Footer">
    <w:name w:val="footer"/>
    <w:basedOn w:val="Normal"/>
    <w:link w:val="FooterChar"/>
    <w:uiPriority w:val="99"/>
    <w:unhideWhenUsed/>
    <w:rsid w:val="007D4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4F1"/>
  </w:style>
  <w:style w:type="character" w:styleId="FollowedHyperlink">
    <w:name w:val="FollowedHyperlink"/>
    <w:basedOn w:val="DefaultParagraphFont"/>
    <w:uiPriority w:val="99"/>
    <w:semiHidden/>
    <w:unhideWhenUsed/>
    <w:rsid w:val="007C0437"/>
    <w:rPr>
      <w:color w:val="800080" w:themeColor="followedHyperlink"/>
      <w:u w:val="single"/>
    </w:rPr>
  </w:style>
  <w:style w:type="paragraph" w:styleId="EndnoteText">
    <w:name w:val="endnote text"/>
    <w:basedOn w:val="Normal"/>
    <w:link w:val="EndnoteTextChar"/>
    <w:uiPriority w:val="99"/>
    <w:semiHidden/>
    <w:unhideWhenUsed/>
    <w:rsid w:val="00150A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AB0"/>
    <w:rPr>
      <w:sz w:val="20"/>
      <w:szCs w:val="20"/>
    </w:rPr>
  </w:style>
  <w:style w:type="character" w:styleId="EndnoteReference">
    <w:name w:val="endnote reference"/>
    <w:basedOn w:val="DefaultParagraphFont"/>
    <w:uiPriority w:val="99"/>
    <w:semiHidden/>
    <w:unhideWhenUsed/>
    <w:rsid w:val="00150AB0"/>
    <w:rPr>
      <w:vertAlign w:val="superscript"/>
    </w:rPr>
  </w:style>
  <w:style w:type="paragraph" w:styleId="Revision">
    <w:name w:val="Revision"/>
    <w:hidden/>
    <w:uiPriority w:val="99"/>
    <w:semiHidden/>
    <w:rsid w:val="000F4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353">
      <w:bodyDiv w:val="1"/>
      <w:marLeft w:val="0"/>
      <w:marRight w:val="0"/>
      <w:marTop w:val="0"/>
      <w:marBottom w:val="0"/>
      <w:divBdr>
        <w:top w:val="none" w:sz="0" w:space="0" w:color="auto"/>
        <w:left w:val="none" w:sz="0" w:space="0" w:color="auto"/>
        <w:bottom w:val="none" w:sz="0" w:space="0" w:color="auto"/>
        <w:right w:val="none" w:sz="0" w:space="0" w:color="auto"/>
      </w:divBdr>
    </w:div>
    <w:div w:id="666981830">
      <w:bodyDiv w:val="1"/>
      <w:marLeft w:val="0"/>
      <w:marRight w:val="0"/>
      <w:marTop w:val="0"/>
      <w:marBottom w:val="0"/>
      <w:divBdr>
        <w:top w:val="none" w:sz="0" w:space="0" w:color="auto"/>
        <w:left w:val="none" w:sz="0" w:space="0" w:color="auto"/>
        <w:bottom w:val="none" w:sz="0" w:space="0" w:color="auto"/>
        <w:right w:val="none" w:sz="0" w:space="0" w:color="auto"/>
      </w:divBdr>
      <w:divsChild>
        <w:div w:id="1528637824">
          <w:marLeft w:val="0"/>
          <w:marRight w:val="0"/>
          <w:marTop w:val="0"/>
          <w:marBottom w:val="0"/>
          <w:divBdr>
            <w:top w:val="none" w:sz="0" w:space="0" w:color="auto"/>
            <w:left w:val="none" w:sz="0" w:space="0" w:color="auto"/>
            <w:bottom w:val="none" w:sz="0" w:space="0" w:color="auto"/>
            <w:right w:val="none" w:sz="0" w:space="0" w:color="auto"/>
          </w:divBdr>
          <w:divsChild>
            <w:div w:id="1747652711">
              <w:marLeft w:val="0"/>
              <w:marRight w:val="0"/>
              <w:marTop w:val="0"/>
              <w:marBottom w:val="0"/>
              <w:divBdr>
                <w:top w:val="none" w:sz="0" w:space="0" w:color="auto"/>
                <w:left w:val="none" w:sz="0" w:space="0" w:color="auto"/>
                <w:bottom w:val="none" w:sz="0" w:space="0" w:color="auto"/>
                <w:right w:val="none" w:sz="0" w:space="0" w:color="auto"/>
              </w:divBdr>
              <w:divsChild>
                <w:div w:id="1189026293">
                  <w:marLeft w:val="0"/>
                  <w:marRight w:val="0"/>
                  <w:marTop w:val="0"/>
                  <w:marBottom w:val="0"/>
                  <w:divBdr>
                    <w:top w:val="none" w:sz="0" w:space="0" w:color="auto"/>
                    <w:left w:val="none" w:sz="0" w:space="0" w:color="auto"/>
                    <w:bottom w:val="none" w:sz="0" w:space="0" w:color="auto"/>
                    <w:right w:val="none" w:sz="0" w:space="0" w:color="auto"/>
                  </w:divBdr>
                  <w:divsChild>
                    <w:div w:id="1246770081">
                      <w:marLeft w:val="0"/>
                      <w:marRight w:val="225"/>
                      <w:marTop w:val="0"/>
                      <w:marBottom w:val="0"/>
                      <w:divBdr>
                        <w:top w:val="none" w:sz="0" w:space="0" w:color="auto"/>
                        <w:left w:val="none" w:sz="0" w:space="0" w:color="auto"/>
                        <w:bottom w:val="none" w:sz="0" w:space="0" w:color="auto"/>
                        <w:right w:val="none" w:sz="0" w:space="0" w:color="auto"/>
                      </w:divBdr>
                      <w:divsChild>
                        <w:div w:id="7409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96912">
      <w:bodyDiv w:val="1"/>
      <w:marLeft w:val="0"/>
      <w:marRight w:val="0"/>
      <w:marTop w:val="0"/>
      <w:marBottom w:val="0"/>
      <w:divBdr>
        <w:top w:val="none" w:sz="0" w:space="0" w:color="auto"/>
        <w:left w:val="none" w:sz="0" w:space="0" w:color="auto"/>
        <w:bottom w:val="none" w:sz="0" w:space="0" w:color="auto"/>
        <w:right w:val="none" w:sz="0" w:space="0" w:color="auto"/>
      </w:divBdr>
    </w:div>
    <w:div w:id="1192380071">
      <w:bodyDiv w:val="1"/>
      <w:marLeft w:val="0"/>
      <w:marRight w:val="0"/>
      <w:marTop w:val="0"/>
      <w:marBottom w:val="0"/>
      <w:divBdr>
        <w:top w:val="none" w:sz="0" w:space="0" w:color="auto"/>
        <w:left w:val="none" w:sz="0" w:space="0" w:color="auto"/>
        <w:bottom w:val="none" w:sz="0" w:space="0" w:color="auto"/>
        <w:right w:val="none" w:sz="0" w:space="0" w:color="auto"/>
      </w:divBdr>
      <w:divsChild>
        <w:div w:id="1825852890">
          <w:marLeft w:val="0"/>
          <w:marRight w:val="0"/>
          <w:marTop w:val="0"/>
          <w:marBottom w:val="0"/>
          <w:divBdr>
            <w:top w:val="none" w:sz="0" w:space="0" w:color="auto"/>
            <w:left w:val="none" w:sz="0" w:space="0" w:color="auto"/>
            <w:bottom w:val="none" w:sz="0" w:space="0" w:color="auto"/>
            <w:right w:val="none" w:sz="0" w:space="0" w:color="auto"/>
          </w:divBdr>
          <w:divsChild>
            <w:div w:id="778329501">
              <w:marLeft w:val="0"/>
              <w:marRight w:val="0"/>
              <w:marTop w:val="0"/>
              <w:marBottom w:val="0"/>
              <w:divBdr>
                <w:top w:val="none" w:sz="0" w:space="0" w:color="auto"/>
                <w:left w:val="none" w:sz="0" w:space="0" w:color="auto"/>
                <w:bottom w:val="none" w:sz="0" w:space="0" w:color="auto"/>
                <w:right w:val="none" w:sz="0" w:space="0" w:color="auto"/>
              </w:divBdr>
              <w:divsChild>
                <w:div w:id="1878815033">
                  <w:marLeft w:val="0"/>
                  <w:marRight w:val="0"/>
                  <w:marTop w:val="0"/>
                  <w:marBottom w:val="0"/>
                  <w:divBdr>
                    <w:top w:val="none" w:sz="0" w:space="0" w:color="auto"/>
                    <w:left w:val="none" w:sz="0" w:space="0" w:color="auto"/>
                    <w:bottom w:val="none" w:sz="0" w:space="0" w:color="auto"/>
                    <w:right w:val="none" w:sz="0" w:space="0" w:color="auto"/>
                  </w:divBdr>
                  <w:divsChild>
                    <w:div w:id="1667047449">
                      <w:marLeft w:val="0"/>
                      <w:marRight w:val="225"/>
                      <w:marTop w:val="0"/>
                      <w:marBottom w:val="0"/>
                      <w:divBdr>
                        <w:top w:val="none" w:sz="0" w:space="0" w:color="auto"/>
                        <w:left w:val="none" w:sz="0" w:space="0" w:color="auto"/>
                        <w:bottom w:val="none" w:sz="0" w:space="0" w:color="auto"/>
                        <w:right w:val="none" w:sz="0" w:space="0" w:color="auto"/>
                      </w:divBdr>
                      <w:divsChild>
                        <w:div w:id="6152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5772">
      <w:bodyDiv w:val="1"/>
      <w:marLeft w:val="0"/>
      <w:marRight w:val="0"/>
      <w:marTop w:val="0"/>
      <w:marBottom w:val="0"/>
      <w:divBdr>
        <w:top w:val="none" w:sz="0" w:space="0" w:color="auto"/>
        <w:left w:val="none" w:sz="0" w:space="0" w:color="auto"/>
        <w:bottom w:val="none" w:sz="0" w:space="0" w:color="auto"/>
        <w:right w:val="none" w:sz="0" w:space="0" w:color="auto"/>
      </w:divBdr>
    </w:div>
    <w:div w:id="19199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2.mcnamara@qut.edu.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wteachnetwork.org/resources/gpgreflection.pdf" TargetMode="External"/><Relationship Id="rId3" Type="http://schemas.openxmlformats.org/officeDocument/2006/relationships/hyperlink" Target="http://www.kent.ac.uk/giving/lawcampaign/news/index.html?view=173" TargetMode="External"/><Relationship Id="rId7" Type="http://schemas.openxmlformats.org/officeDocument/2006/relationships/hyperlink" Target="https://www.isr.umich.edu/home/diversity/resources/white-privilege.pdf" TargetMode="External"/><Relationship Id="rId2" Type="http://schemas.openxmlformats.org/officeDocument/2006/relationships/hyperlink" Target="http://www.kent.ac.uk/giving/lawcampaign/news/index.html?view=173" TargetMode="External"/><Relationship Id="rId1" Type="http://schemas.openxmlformats.org/officeDocument/2006/relationships/hyperlink" Target="http://www.pc.gov.au/__data/assets/pdf_file/0005/129740/sub074-access-justice.pdf" TargetMode="External"/><Relationship Id="rId6" Type="http://schemas.openxmlformats.org/officeDocument/2006/relationships/hyperlink" Target="https://wiki.qut.edu.au/display/draw/Home" TargetMode="External"/><Relationship Id="rId5" Type="http://schemas.openxmlformats.org/officeDocument/2006/relationships/hyperlink" Target="http://cleaweb.org/documents/Best_Practices_For_Legal_Education_7_x_10_pg_10_pt.pdf" TargetMode="External"/><Relationship Id="rId4" Type="http://schemas.openxmlformats.org/officeDocument/2006/relationships/hyperlink" Target="http://cleaweb.org/documents/Best_Practices_For_Legal_Education_7_x_10_pg_10_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3691A-F265-47FC-9E1F-73726154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2014-11-05T08:41:00Z</dcterms:created>
  <dcterms:modified xsi:type="dcterms:W3CDTF">2014-11-05T13:40:00Z</dcterms:modified>
</cp:coreProperties>
</file>